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184" w:type="dxa"/>
        <w:tblInd w:w="0" w:type="dxa"/>
        <w:tblLayout w:type="autofit"/>
        <w:tblCellMar>
          <w:top w:w="0" w:type="dxa"/>
          <w:left w:w="108" w:type="dxa"/>
          <w:bottom w:w="0" w:type="dxa"/>
          <w:right w:w="108" w:type="dxa"/>
        </w:tblCellMar>
      </w:tblPr>
      <w:tblGrid>
        <w:gridCol w:w="2552"/>
        <w:gridCol w:w="6237"/>
        <w:gridCol w:w="4246"/>
        <w:gridCol w:w="1149"/>
      </w:tblGrid>
      <w:tr>
        <w:tblPrEx>
          <w:tblCellMar>
            <w:top w:w="0" w:type="dxa"/>
            <w:left w:w="108" w:type="dxa"/>
            <w:bottom w:w="0" w:type="dxa"/>
            <w:right w:w="108" w:type="dxa"/>
          </w:tblCellMar>
        </w:tblPrEx>
        <w:trPr>
          <w:trHeight w:val="266" w:hRule="atLeast"/>
        </w:trPr>
        <w:tc>
          <w:tcPr>
            <w:tcW w:w="2552" w:type="dxa"/>
            <w:tcBorders>
              <w:top w:val="nil"/>
              <w:left w:val="nil"/>
              <w:bottom w:val="nil"/>
              <w:right w:val="nil"/>
            </w:tcBorders>
            <w:shd w:val="clear" w:color="auto" w:fill="auto"/>
            <w:noWrap/>
            <w:vAlign w:val="bottom"/>
          </w:tcPr>
          <w:p>
            <w:pPr>
              <w:contextualSpacing/>
              <w:rPr>
                <w:rFonts w:ascii="Arial" w:hAnsi="Arial" w:cs="Arial"/>
                <w:b/>
                <w:bCs/>
                <w:color w:val="000000"/>
                <w:sz w:val="18"/>
                <w:szCs w:val="18"/>
                <w:lang w:val="en-GB" w:eastAsia="en-GB"/>
              </w:rPr>
            </w:pPr>
            <w:r>
              <w:rPr>
                <w:rFonts w:ascii="Arial" w:hAnsi="Arial" w:cs="Arial"/>
                <w:b/>
                <w:bCs/>
                <w:color w:val="000000"/>
                <w:sz w:val="18"/>
                <w:szCs w:val="18"/>
              </w:rPr>
              <w:t>Appendix 4</w:t>
            </w:r>
          </w:p>
        </w:tc>
        <w:tc>
          <w:tcPr>
            <w:tcW w:w="11632" w:type="dxa"/>
            <w:gridSpan w:val="3"/>
            <w:tcBorders>
              <w:top w:val="nil"/>
              <w:left w:val="nil"/>
              <w:bottom w:val="nil"/>
              <w:right w:val="nil"/>
            </w:tcBorders>
            <w:shd w:val="clear" w:color="auto" w:fill="auto"/>
            <w:noWrap/>
            <w:vAlign w:val="bottom"/>
          </w:tcPr>
          <w:p>
            <w:pPr>
              <w:contextualSpacing/>
              <w:rPr>
                <w:rFonts w:ascii="Arial" w:hAnsi="Arial" w:cs="Arial"/>
                <w:b/>
                <w:bCs/>
                <w:color w:val="000000"/>
                <w:sz w:val="18"/>
                <w:szCs w:val="18"/>
              </w:rPr>
            </w:pPr>
            <w:r>
              <w:rPr>
                <w:rFonts w:ascii="Arial" w:hAnsi="Arial" w:cs="Arial"/>
                <w:b/>
                <w:bCs/>
                <w:color w:val="000000"/>
                <w:sz w:val="18"/>
                <w:szCs w:val="18"/>
              </w:rPr>
              <w:t>Financial Year 2020-2021 GP SUMDE Payments Schedule</w:t>
            </w:r>
          </w:p>
        </w:tc>
      </w:tr>
      <w:tr>
        <w:tblPrEx>
          <w:tblCellMar>
            <w:top w:w="0" w:type="dxa"/>
            <w:left w:w="108" w:type="dxa"/>
            <w:bottom w:w="0" w:type="dxa"/>
            <w:right w:w="108" w:type="dxa"/>
          </w:tblCellMar>
        </w:tblPrEx>
        <w:trPr>
          <w:trHeight w:val="80" w:hRule="atLeast"/>
        </w:trPr>
        <w:tc>
          <w:tcPr>
            <w:tcW w:w="2552" w:type="dxa"/>
            <w:tcBorders>
              <w:top w:val="nil"/>
              <w:left w:val="nil"/>
              <w:bottom w:val="nil"/>
              <w:right w:val="nil"/>
            </w:tcBorders>
            <w:shd w:val="clear" w:color="auto" w:fill="auto"/>
            <w:noWrap/>
            <w:vAlign w:val="bottom"/>
          </w:tcPr>
          <w:p>
            <w:pPr>
              <w:contextualSpacing/>
              <w:jc w:val="center"/>
              <w:rPr>
                <w:rFonts w:ascii="Arial" w:hAnsi="Arial" w:cs="Arial"/>
                <w:b/>
                <w:bCs/>
                <w:color w:val="000000"/>
                <w:sz w:val="18"/>
                <w:szCs w:val="18"/>
              </w:rPr>
            </w:pPr>
          </w:p>
        </w:tc>
        <w:tc>
          <w:tcPr>
            <w:tcW w:w="6237" w:type="dxa"/>
            <w:tcBorders>
              <w:top w:val="nil"/>
              <w:left w:val="nil"/>
              <w:bottom w:val="nil"/>
              <w:right w:val="nil"/>
            </w:tcBorders>
            <w:shd w:val="clear" w:color="auto" w:fill="auto"/>
            <w:noWrap/>
            <w:vAlign w:val="bottom"/>
          </w:tcPr>
          <w:p>
            <w:pPr>
              <w:contextualSpacing/>
              <w:rPr>
                <w:rFonts w:ascii="Arial" w:hAnsi="Arial" w:cs="Arial"/>
                <w:sz w:val="18"/>
                <w:szCs w:val="18"/>
              </w:rPr>
            </w:pPr>
          </w:p>
        </w:tc>
        <w:tc>
          <w:tcPr>
            <w:tcW w:w="4246" w:type="dxa"/>
            <w:tcBorders>
              <w:top w:val="nil"/>
              <w:left w:val="nil"/>
              <w:bottom w:val="nil"/>
              <w:right w:val="nil"/>
            </w:tcBorders>
            <w:shd w:val="clear" w:color="auto" w:fill="auto"/>
            <w:noWrap/>
            <w:vAlign w:val="bottom"/>
          </w:tcPr>
          <w:p>
            <w:pPr>
              <w:contextualSpacing/>
              <w:rPr>
                <w:rFonts w:ascii="Arial" w:hAnsi="Arial" w:cs="Arial"/>
                <w:sz w:val="18"/>
                <w:szCs w:val="18"/>
              </w:rPr>
            </w:pPr>
          </w:p>
        </w:tc>
        <w:tc>
          <w:tcPr>
            <w:tcW w:w="1149" w:type="dxa"/>
            <w:tcBorders>
              <w:top w:val="nil"/>
              <w:left w:val="nil"/>
              <w:bottom w:val="nil"/>
              <w:right w:val="nil"/>
            </w:tcBorders>
            <w:shd w:val="clear" w:color="auto" w:fill="auto"/>
            <w:noWrap/>
            <w:vAlign w:val="bottom"/>
          </w:tcPr>
          <w:p>
            <w:pPr>
              <w:contextualSpacing/>
              <w:rPr>
                <w:rFonts w:ascii="Arial" w:hAnsi="Arial" w:cs="Arial"/>
                <w:sz w:val="18"/>
                <w:szCs w:val="18"/>
              </w:rPr>
            </w:pPr>
          </w:p>
        </w:tc>
      </w:tr>
      <w:tr>
        <w:tblPrEx>
          <w:tblCellMar>
            <w:top w:w="0" w:type="dxa"/>
            <w:left w:w="108" w:type="dxa"/>
            <w:bottom w:w="0" w:type="dxa"/>
            <w:right w:w="108" w:type="dxa"/>
          </w:tblCellMar>
        </w:tblPrEx>
        <w:trPr>
          <w:trHeight w:val="266" w:hRule="atLeast"/>
        </w:trPr>
        <w:tc>
          <w:tcPr>
            <w:tcW w:w="2552" w:type="dxa"/>
            <w:tcBorders>
              <w:top w:val="single" w:color="auto" w:sz="4" w:space="0"/>
              <w:left w:val="single" w:color="auto" w:sz="4" w:space="0"/>
              <w:bottom w:val="single" w:color="auto" w:sz="4" w:space="0"/>
              <w:right w:val="single" w:color="auto" w:sz="4" w:space="0"/>
            </w:tcBorders>
            <w:shd w:val="clear" w:color="000000" w:fill="BFBFBF"/>
            <w:noWrap/>
            <w:vAlign w:val="center"/>
          </w:tcPr>
          <w:p>
            <w:pPr>
              <w:contextualSpacing/>
              <w:jc w:val="center"/>
              <w:rPr>
                <w:rFonts w:ascii="Arial" w:hAnsi="Arial" w:cs="Arial"/>
                <w:b/>
                <w:bCs/>
                <w:sz w:val="18"/>
                <w:szCs w:val="18"/>
              </w:rPr>
            </w:pPr>
            <w:r>
              <w:rPr>
                <w:rFonts w:ascii="Arial" w:hAnsi="Arial" w:cs="Arial"/>
                <w:b/>
                <w:bCs/>
                <w:sz w:val="18"/>
                <w:szCs w:val="18"/>
              </w:rPr>
              <w:t>Cohort</w:t>
            </w:r>
          </w:p>
        </w:tc>
        <w:tc>
          <w:tcPr>
            <w:tcW w:w="6237" w:type="dxa"/>
            <w:tcBorders>
              <w:top w:val="single" w:color="auto" w:sz="4" w:space="0"/>
              <w:left w:val="nil"/>
              <w:bottom w:val="single" w:color="auto" w:sz="4" w:space="0"/>
              <w:right w:val="single" w:color="auto" w:sz="4" w:space="0"/>
            </w:tcBorders>
            <w:shd w:val="clear" w:color="000000" w:fill="BFBFBF"/>
            <w:noWrap/>
            <w:vAlign w:val="center"/>
          </w:tcPr>
          <w:p>
            <w:pPr>
              <w:contextualSpacing/>
              <w:jc w:val="center"/>
              <w:rPr>
                <w:rFonts w:ascii="Arial" w:hAnsi="Arial" w:cs="Arial"/>
                <w:b/>
                <w:bCs/>
                <w:sz w:val="18"/>
                <w:szCs w:val="18"/>
              </w:rPr>
            </w:pPr>
            <w:r>
              <w:rPr>
                <w:rFonts w:ascii="Arial" w:hAnsi="Arial" w:cs="Arial"/>
                <w:b/>
                <w:bCs/>
                <w:sz w:val="18"/>
                <w:szCs w:val="18"/>
              </w:rPr>
              <w:t>Course Title</w:t>
            </w:r>
          </w:p>
        </w:tc>
        <w:tc>
          <w:tcPr>
            <w:tcW w:w="4246" w:type="dxa"/>
            <w:tcBorders>
              <w:top w:val="single" w:color="auto" w:sz="4" w:space="0"/>
              <w:left w:val="nil"/>
              <w:bottom w:val="single" w:color="auto" w:sz="4" w:space="0"/>
              <w:right w:val="single" w:color="auto" w:sz="4" w:space="0"/>
            </w:tcBorders>
            <w:shd w:val="clear" w:color="000000" w:fill="BFBFBF"/>
            <w:noWrap/>
            <w:vAlign w:val="center"/>
          </w:tcPr>
          <w:p>
            <w:pPr>
              <w:contextualSpacing/>
              <w:jc w:val="center"/>
              <w:rPr>
                <w:rFonts w:ascii="Arial" w:hAnsi="Arial" w:cs="Arial"/>
                <w:b/>
                <w:bCs/>
                <w:sz w:val="18"/>
                <w:szCs w:val="18"/>
              </w:rPr>
            </w:pPr>
            <w:r>
              <w:rPr>
                <w:rFonts w:ascii="Arial" w:hAnsi="Arial" w:cs="Arial"/>
                <w:b/>
                <w:bCs/>
                <w:sz w:val="18"/>
                <w:szCs w:val="18"/>
              </w:rPr>
              <w:t>Category</w:t>
            </w:r>
          </w:p>
        </w:tc>
        <w:tc>
          <w:tcPr>
            <w:tcW w:w="1149" w:type="dxa"/>
            <w:tcBorders>
              <w:top w:val="single" w:color="auto" w:sz="4" w:space="0"/>
              <w:left w:val="nil"/>
              <w:bottom w:val="single" w:color="auto" w:sz="4" w:space="0"/>
              <w:right w:val="single" w:color="auto" w:sz="4" w:space="0"/>
            </w:tcBorders>
            <w:shd w:val="clear" w:color="000000" w:fill="BFBFBF"/>
            <w:noWrap/>
            <w:vAlign w:val="center"/>
          </w:tcPr>
          <w:p>
            <w:pPr>
              <w:contextualSpacing/>
              <w:jc w:val="center"/>
              <w:rPr>
                <w:rFonts w:ascii="Arial" w:hAnsi="Arial" w:cs="Arial"/>
                <w:b/>
                <w:bCs/>
                <w:sz w:val="18"/>
                <w:szCs w:val="18"/>
              </w:rPr>
            </w:pPr>
            <w:r>
              <w:rPr>
                <w:rFonts w:ascii="Arial" w:hAnsi="Arial" w:cs="Arial"/>
                <w:b/>
                <w:bCs/>
                <w:sz w:val="18"/>
                <w:szCs w:val="18"/>
              </w:rPr>
              <w:t>SUMDE</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center"/>
          </w:tcPr>
          <w:p>
            <w:pPr>
              <w:contextualSpacing/>
              <w:rPr>
                <w:rFonts w:ascii="Arial" w:hAnsi="Arial" w:cs="Arial"/>
                <w:b/>
                <w:bCs/>
                <w:sz w:val="18"/>
                <w:szCs w:val="18"/>
              </w:rPr>
            </w:pPr>
            <w:r>
              <w:rPr>
                <w:rFonts w:ascii="Arial" w:hAnsi="Arial" w:cs="Arial"/>
                <w:b/>
                <w:bCs/>
                <w:sz w:val="18"/>
                <w:szCs w:val="18"/>
              </w:rPr>
              <w:t>Out of Practice Sessional Teaching</w:t>
            </w:r>
          </w:p>
        </w:tc>
        <w:tc>
          <w:tcPr>
            <w:tcW w:w="6237" w:type="dxa"/>
            <w:tcBorders>
              <w:top w:val="nil"/>
              <w:left w:val="nil"/>
              <w:bottom w:val="single" w:color="auto" w:sz="4" w:space="0"/>
              <w:right w:val="single" w:color="auto" w:sz="4" w:space="0"/>
            </w:tcBorders>
            <w:shd w:val="clear" w:color="auto" w:fill="auto"/>
            <w:noWrap/>
            <w:vAlign w:val="center"/>
          </w:tcPr>
          <w:p>
            <w:pPr>
              <w:contextualSpacing/>
              <w:jc w:val="center"/>
              <w:rPr>
                <w:rFonts w:ascii="Arial" w:hAnsi="Arial" w:cs="Arial"/>
                <w:b/>
                <w:bCs/>
                <w:sz w:val="18"/>
                <w:szCs w:val="18"/>
              </w:rPr>
            </w:pPr>
            <w:r>
              <w:rPr>
                <w:rFonts w:ascii="Arial" w:hAnsi="Arial" w:cs="Arial"/>
                <w:b/>
                <w:bCs/>
                <w:sz w:val="18"/>
                <w:szCs w:val="18"/>
              </w:rPr>
              <w:t> </w:t>
            </w:r>
          </w:p>
        </w:tc>
        <w:tc>
          <w:tcPr>
            <w:tcW w:w="4246" w:type="dxa"/>
            <w:tcBorders>
              <w:top w:val="nil"/>
              <w:left w:val="nil"/>
              <w:bottom w:val="single" w:color="auto" w:sz="4" w:space="0"/>
              <w:right w:val="single" w:color="auto" w:sz="4" w:space="0"/>
            </w:tcBorders>
            <w:shd w:val="clear" w:color="auto" w:fill="auto"/>
            <w:noWrap/>
            <w:vAlign w:val="center"/>
          </w:tcPr>
          <w:p>
            <w:pPr>
              <w:contextualSpacing/>
              <w:jc w:val="center"/>
              <w:rPr>
                <w:rFonts w:ascii="Arial" w:hAnsi="Arial" w:cs="Arial"/>
                <w:b/>
                <w:bCs/>
                <w:sz w:val="18"/>
                <w:szCs w:val="18"/>
              </w:rPr>
            </w:pPr>
            <w:r>
              <w:rPr>
                <w:rFonts w:ascii="Arial" w:hAnsi="Arial" w:cs="Arial"/>
                <w:b/>
                <w:bCs/>
                <w:sz w:val="18"/>
                <w:szCs w:val="18"/>
              </w:rPr>
              <w:t> </w:t>
            </w:r>
          </w:p>
        </w:tc>
        <w:tc>
          <w:tcPr>
            <w:tcW w:w="1149" w:type="dxa"/>
            <w:tcBorders>
              <w:top w:val="nil"/>
              <w:left w:val="nil"/>
              <w:bottom w:val="single" w:color="auto" w:sz="4" w:space="0"/>
              <w:right w:val="single" w:color="auto" w:sz="4" w:space="0"/>
            </w:tcBorders>
            <w:shd w:val="clear" w:color="auto" w:fill="auto"/>
            <w:noWrap/>
            <w:vAlign w:val="center"/>
          </w:tcPr>
          <w:p>
            <w:pPr>
              <w:contextualSpacing/>
              <w:jc w:val="center"/>
              <w:rPr>
                <w:rFonts w:ascii="Arial" w:hAnsi="Arial" w:cs="Arial"/>
                <w:b/>
                <w:bCs/>
                <w:sz w:val="18"/>
                <w:szCs w:val="18"/>
              </w:rPr>
            </w:pPr>
            <w:r>
              <w:rPr>
                <w:rFonts w:ascii="Arial" w:hAnsi="Arial" w:cs="Arial"/>
                <w:b/>
                <w:bCs/>
                <w:sz w:val="18"/>
                <w:szCs w:val="18"/>
              </w:rPr>
              <w:t> </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Training/Meeting/Single Session</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Feedback/Review Meeting</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All</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Examining/Marking</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b/>
                <w:color w:val="000000"/>
                <w:sz w:val="18"/>
                <w:szCs w:val="18"/>
              </w:rPr>
            </w:pPr>
            <w:r>
              <w:rPr>
                <w:rFonts w:ascii="Arial" w:hAnsi="Arial" w:cs="Arial"/>
                <w:b/>
                <w:color w:val="000000"/>
                <w:sz w:val="18"/>
                <w:szCs w:val="18"/>
              </w:rPr>
              <w:t>In Practice Sessional Teaching</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1</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Medical Clinical Skills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(9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 xml:space="preserve">1 </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Family Attachment Scheme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(3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£750.00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2</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General Practice Experience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(3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£750.00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2</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Medical Clinical Skills Semester 1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(11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£2,750.00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2</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Medical Clinical Skills Semester 2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(9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2 &amp; 3</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 xml:space="preserve">SSC </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SSC Session</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4</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Primary Healthcare</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CCTV Teaching</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£250.00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b/>
                <w:bCs/>
                <w:color w:val="000000"/>
                <w:sz w:val="18"/>
                <w:szCs w:val="18"/>
              </w:rPr>
            </w:pPr>
            <w:r>
              <w:rPr>
                <w:rFonts w:ascii="Arial" w:hAnsi="Arial" w:cs="Arial"/>
                <w:b/>
                <w:bCs/>
                <w:color w:val="000000"/>
                <w:sz w:val="18"/>
                <w:szCs w:val="18"/>
              </w:rPr>
              <w:t>Embedded Teaching (per student)</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b/>
                <w:bCs/>
                <w:color w:val="000000"/>
                <w:sz w:val="18"/>
                <w:szCs w:val="18"/>
              </w:rPr>
            </w:pPr>
            <w:r>
              <w:rPr>
                <w:rFonts w:ascii="Arial" w:hAnsi="Arial" w:cs="Arial"/>
                <w:b/>
                <w:bCs/>
                <w:color w:val="000000"/>
                <w:sz w:val="18"/>
                <w:szCs w:val="18"/>
              </w:rPr>
              <w:t> </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b/>
                <w:bCs/>
                <w:color w:val="000000"/>
                <w:sz w:val="18"/>
                <w:szCs w:val="18"/>
              </w:rPr>
            </w:pPr>
            <w:r>
              <w:rPr>
                <w:rFonts w:ascii="Arial" w:hAnsi="Arial" w:cs="Arial"/>
                <w:b/>
                <w:bCs/>
                <w:color w:val="000000"/>
                <w:sz w:val="18"/>
                <w:szCs w:val="18"/>
              </w:rPr>
              <w:t> </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b/>
                <w:bCs/>
                <w:color w:val="000000"/>
                <w:sz w:val="18"/>
                <w:szCs w:val="18"/>
              </w:rPr>
            </w:pPr>
            <w:r>
              <w:rPr>
                <w:rFonts w:ascii="Arial" w:hAnsi="Arial" w:cs="Arial"/>
                <w:b/>
                <w:bCs/>
                <w:color w:val="000000"/>
                <w:sz w:val="18"/>
                <w:szCs w:val="18"/>
              </w:rPr>
              <w:t> </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4</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Practice Attachment</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GP Attachment Teaching (26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£1,538.42</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5</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Core Practice Attachment</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GP Attachment Teaching (per 20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£1,183.40</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4 &amp; 5</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 Attachment Remedial</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sz w:val="18"/>
                <w:szCs w:val="18"/>
              </w:rPr>
            </w:pPr>
            <w:r>
              <w:rPr>
                <w:rFonts w:ascii="Arial" w:hAnsi="Arial" w:cs="Arial"/>
                <w:sz w:val="18"/>
                <w:szCs w:val="18"/>
              </w:rPr>
              <w:t>GP Practice Attachment Remedial (per session)</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£59.17</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5</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GP Assistantship</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Practice-based Teaching Week (8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color w:val="000000"/>
                <w:sz w:val="18"/>
                <w:szCs w:val="18"/>
              </w:rPr>
            </w:pPr>
            <w:r>
              <w:rPr>
                <w:rFonts w:ascii="Arial" w:hAnsi="Arial" w:cs="Arial"/>
                <w:color w:val="000000"/>
                <w:sz w:val="18"/>
                <w:szCs w:val="18"/>
              </w:rPr>
              <w:t>£473.36</w:t>
            </w:r>
          </w:p>
        </w:tc>
      </w:tr>
      <w:tr>
        <w:tblPrEx>
          <w:tblCellMar>
            <w:top w:w="0" w:type="dxa"/>
            <w:left w:w="108" w:type="dxa"/>
            <w:bottom w:w="0" w:type="dxa"/>
            <w:right w:w="108" w:type="dxa"/>
          </w:tblCellMar>
        </w:tblPrEx>
        <w:trPr>
          <w:trHeight w:val="266" w:hRule="atLeast"/>
        </w:trPr>
        <w:tc>
          <w:tcPr>
            <w:tcW w:w="2552" w:type="dxa"/>
            <w:tcBorders>
              <w:top w:val="nil"/>
              <w:left w:val="single" w:color="auto" w:sz="4" w:space="0"/>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5</w:t>
            </w:r>
          </w:p>
        </w:tc>
        <w:tc>
          <w:tcPr>
            <w:tcW w:w="6237"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GP Assistantship (6 students; pro rata for larger groups)</w:t>
            </w:r>
          </w:p>
        </w:tc>
        <w:tc>
          <w:tcPr>
            <w:tcW w:w="4246" w:type="dxa"/>
            <w:tcBorders>
              <w:top w:val="nil"/>
              <w:left w:val="nil"/>
              <w:bottom w:val="single" w:color="auto" w:sz="4" w:space="0"/>
              <w:right w:val="single" w:color="auto" w:sz="4" w:space="0"/>
            </w:tcBorders>
            <w:shd w:val="clear" w:color="auto" w:fill="auto"/>
            <w:noWrap/>
            <w:vAlign w:val="bottom"/>
          </w:tcPr>
          <w:p>
            <w:pPr>
              <w:contextualSpacing/>
              <w:rPr>
                <w:rFonts w:ascii="Arial" w:hAnsi="Arial" w:cs="Arial"/>
                <w:color w:val="000000"/>
                <w:sz w:val="18"/>
                <w:szCs w:val="18"/>
              </w:rPr>
            </w:pPr>
            <w:r>
              <w:rPr>
                <w:rFonts w:ascii="Arial" w:hAnsi="Arial" w:cs="Arial"/>
                <w:color w:val="000000"/>
                <w:sz w:val="18"/>
                <w:szCs w:val="18"/>
              </w:rPr>
              <w:t>Cluster Lead Day (2 sessions)</w:t>
            </w:r>
          </w:p>
        </w:tc>
        <w:tc>
          <w:tcPr>
            <w:tcW w:w="1149" w:type="dxa"/>
            <w:tcBorders>
              <w:top w:val="nil"/>
              <w:left w:val="nil"/>
              <w:bottom w:val="single" w:color="auto" w:sz="4" w:space="0"/>
              <w:right w:val="single" w:color="auto" w:sz="4" w:space="0"/>
            </w:tcBorders>
            <w:shd w:val="clear" w:color="auto" w:fill="auto"/>
            <w:noWrap/>
            <w:vAlign w:val="bottom"/>
          </w:tcPr>
          <w:p>
            <w:pPr>
              <w:contextualSpacing/>
              <w:jc w:val="right"/>
              <w:rPr>
                <w:rFonts w:ascii="Arial" w:hAnsi="Arial" w:cs="Arial"/>
                <w:sz w:val="18"/>
                <w:szCs w:val="18"/>
              </w:rPr>
            </w:pPr>
            <w:r>
              <w:rPr>
                <w:rFonts w:ascii="Arial" w:hAnsi="Arial" w:cs="Arial"/>
                <w:sz w:val="18"/>
                <w:szCs w:val="18"/>
              </w:rPr>
              <w:t>£710.04</w:t>
            </w:r>
          </w:p>
        </w:tc>
      </w:tr>
      <w:tr>
        <w:tblPrEx>
          <w:tblCellMar>
            <w:top w:w="0" w:type="dxa"/>
            <w:left w:w="108" w:type="dxa"/>
            <w:bottom w:w="0" w:type="dxa"/>
            <w:right w:w="108" w:type="dxa"/>
          </w:tblCellMar>
        </w:tblPrEx>
        <w:trPr>
          <w:trHeight w:val="266" w:hRule="atLeast"/>
        </w:trPr>
        <w:tc>
          <w:tcPr>
            <w:tcW w:w="2552" w:type="dxa"/>
            <w:tcBorders>
              <w:top w:val="nil"/>
              <w:left w:val="nil"/>
              <w:bottom w:val="nil"/>
              <w:right w:val="nil"/>
            </w:tcBorders>
            <w:shd w:val="clear" w:color="auto" w:fill="auto"/>
            <w:noWrap/>
            <w:vAlign w:val="bottom"/>
          </w:tcPr>
          <w:p>
            <w:pPr>
              <w:contextualSpacing/>
              <w:rPr>
                <w:rFonts w:ascii="Arial" w:hAnsi="Arial" w:cs="Arial"/>
                <w:sz w:val="18"/>
                <w:szCs w:val="18"/>
              </w:rPr>
            </w:pPr>
          </w:p>
        </w:tc>
        <w:tc>
          <w:tcPr>
            <w:tcW w:w="6237" w:type="dxa"/>
            <w:tcBorders>
              <w:top w:val="nil"/>
              <w:left w:val="nil"/>
              <w:bottom w:val="nil"/>
              <w:right w:val="nil"/>
            </w:tcBorders>
            <w:shd w:val="clear" w:color="auto" w:fill="auto"/>
            <w:noWrap/>
            <w:vAlign w:val="bottom"/>
          </w:tcPr>
          <w:p>
            <w:pPr>
              <w:contextualSpacing/>
              <w:rPr>
                <w:rFonts w:ascii="Arial" w:hAnsi="Arial" w:cs="Arial"/>
                <w:sz w:val="20"/>
                <w:szCs w:val="20"/>
              </w:rPr>
            </w:pPr>
          </w:p>
        </w:tc>
        <w:tc>
          <w:tcPr>
            <w:tcW w:w="4246" w:type="dxa"/>
            <w:tcBorders>
              <w:top w:val="nil"/>
              <w:left w:val="nil"/>
              <w:bottom w:val="nil"/>
              <w:right w:val="nil"/>
            </w:tcBorders>
            <w:shd w:val="clear" w:color="auto" w:fill="auto"/>
            <w:noWrap/>
            <w:vAlign w:val="bottom"/>
          </w:tcPr>
          <w:p>
            <w:pPr>
              <w:contextualSpacing/>
              <w:rPr>
                <w:rFonts w:ascii="Arial" w:hAnsi="Arial" w:cs="Arial"/>
                <w:sz w:val="20"/>
                <w:szCs w:val="20"/>
              </w:rPr>
            </w:pPr>
          </w:p>
        </w:tc>
        <w:tc>
          <w:tcPr>
            <w:tcW w:w="1149" w:type="dxa"/>
            <w:tcBorders>
              <w:top w:val="nil"/>
              <w:left w:val="nil"/>
              <w:bottom w:val="nil"/>
              <w:right w:val="nil"/>
            </w:tcBorders>
            <w:shd w:val="clear" w:color="auto" w:fill="auto"/>
            <w:noWrap/>
            <w:vAlign w:val="bottom"/>
          </w:tcPr>
          <w:p>
            <w:pPr>
              <w:contextualSpacing/>
              <w:rPr>
                <w:rFonts w:ascii="Arial" w:hAnsi="Arial" w:cs="Arial"/>
                <w:sz w:val="20"/>
                <w:szCs w:val="20"/>
              </w:rPr>
            </w:pPr>
          </w:p>
        </w:tc>
      </w:tr>
      <w:tr>
        <w:tblPrEx>
          <w:tblCellMar>
            <w:top w:w="0" w:type="dxa"/>
            <w:left w:w="108" w:type="dxa"/>
            <w:bottom w:w="0" w:type="dxa"/>
            <w:right w:w="108" w:type="dxa"/>
          </w:tblCellMar>
        </w:tblPrEx>
        <w:trPr>
          <w:trHeight w:val="325" w:hRule="atLeast"/>
        </w:trPr>
        <w:tc>
          <w:tcPr>
            <w:tcW w:w="14184" w:type="dxa"/>
            <w:gridSpan w:val="4"/>
            <w:tcBorders>
              <w:top w:val="nil"/>
              <w:left w:val="nil"/>
              <w:bottom w:val="nil"/>
              <w:right w:val="nil"/>
            </w:tcBorders>
            <w:shd w:val="clear" w:color="auto" w:fill="auto"/>
          </w:tcPr>
          <w:p>
            <w:pPr>
              <w:contextualSpacing/>
              <w:rPr>
                <w:rFonts w:ascii="Arial" w:hAnsi="Arial" w:cs="Arial"/>
                <w:b/>
                <w:bCs/>
                <w:color w:val="000000"/>
                <w:sz w:val="18"/>
                <w:szCs w:val="18"/>
                <w:u w:val="single"/>
              </w:rPr>
            </w:pPr>
            <w:r>
              <w:rPr>
                <w:rFonts w:ascii="Arial" w:hAnsi="Arial" w:cs="Arial"/>
                <w:b/>
                <w:bCs/>
                <w:color w:val="000000"/>
                <w:sz w:val="18"/>
                <w:szCs w:val="18"/>
                <w:u w:val="single"/>
              </w:rPr>
              <w:t>Payment Procedure</w:t>
            </w:r>
            <w:r>
              <w:rPr>
                <w:rFonts w:ascii="Arial" w:hAnsi="Arial" w:cs="Arial"/>
                <w:color w:val="000000"/>
                <w:sz w:val="18"/>
                <w:szCs w:val="18"/>
              </w:rPr>
              <w:br w:type="textWrapping"/>
            </w:r>
            <w:r>
              <w:rPr>
                <w:rFonts w:ascii="Arial" w:hAnsi="Arial" w:cs="Arial"/>
                <w:color w:val="000000"/>
                <w:sz w:val="18"/>
                <w:szCs w:val="18"/>
              </w:rPr>
              <w:t>SUMDE Office prepares SUMDE claims on behalf of GP Practices based upon the information received from CME Module Coordinators.  SUMDE Office processes claims for those GP Practices who have signed the annual SUMDE Service Level Agreement (SLA).  A summary of SUMDE claims is forwarded to BSO each quarter (March, June, September, December).  Any queries regarding SUMDE quarterly payments should be directed to BSO in the first instance. Tel - 028 95 363 742</w:t>
            </w:r>
            <w:r>
              <w:rPr>
                <w:rFonts w:ascii="Arial" w:hAnsi="Arial" w:cs="Arial"/>
                <w:color w:val="000000"/>
                <w:sz w:val="18"/>
                <w:szCs w:val="18"/>
              </w:rPr>
              <w:br w:type="textWrapping"/>
            </w:r>
          </w:p>
          <w:p>
            <w:pPr>
              <w:contextualSpacing/>
              <w:rPr>
                <w:rFonts w:ascii="Arial" w:hAnsi="Arial" w:cs="Arial"/>
                <w:color w:val="000000"/>
                <w:sz w:val="18"/>
                <w:szCs w:val="18"/>
              </w:rPr>
            </w:pPr>
            <w:r>
              <w:rPr>
                <w:rFonts w:ascii="Arial" w:hAnsi="Arial" w:cs="Arial"/>
                <w:b/>
                <w:bCs/>
                <w:color w:val="000000"/>
                <w:sz w:val="18"/>
                <w:szCs w:val="18"/>
                <w:u w:val="single"/>
              </w:rPr>
              <w:t>SUMDE Office Contact Details</w:t>
            </w:r>
            <w:r>
              <w:rPr>
                <w:rFonts w:ascii="Arial" w:hAnsi="Arial" w:cs="Arial"/>
                <w:color w:val="000000"/>
                <w:sz w:val="18"/>
                <w:szCs w:val="18"/>
              </w:rPr>
              <w:br w:type="textWrapping"/>
            </w:r>
            <w:r>
              <w:rPr>
                <w:rFonts w:ascii="Arial" w:hAnsi="Arial" w:cs="Arial"/>
                <w:color w:val="000000"/>
                <w:sz w:val="18"/>
                <w:szCs w:val="18"/>
              </w:rPr>
              <w:t xml:space="preserve">The SUMDE Office can be contacted on 028 9097 2318 or via email at </w:t>
            </w:r>
            <w:r>
              <w:rPr>
                <w:rFonts w:ascii="Arial" w:hAnsi="Arial" w:cs="Arial"/>
                <w:color w:val="0070C0"/>
                <w:sz w:val="18"/>
                <w:szCs w:val="18"/>
                <w:u w:val="single"/>
              </w:rPr>
              <w:t>sumde@qub.ac.uk</w:t>
            </w:r>
          </w:p>
        </w:tc>
      </w:tr>
    </w:tbl>
    <w:p>
      <w:bookmarkStart w:id="0" w:name="_GoBack"/>
      <w:bookmarkEnd w:id="0"/>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A4F79"/>
    <w:rsid w:val="140A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Cs w:val="20"/>
      <w:lang w:val="en-AU"/>
    </w:rPr>
  </w:style>
  <w:style w:type="paragraph" w:styleId="3">
    <w:name w:val="header"/>
    <w:basedOn w:val="1"/>
    <w:qFormat/>
    <w:uiPriority w:val="99"/>
    <w:pPr>
      <w:tabs>
        <w:tab w:val="center" w:pos="4153"/>
        <w:tab w:val="right" w:pos="8306"/>
      </w:tabs>
    </w:pPr>
    <w:rPr>
      <w:szCs w:val="20"/>
      <w:lang w:val="en-A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2020-10-21T08:55:00Z</dcterms:created>
  <dc:creator>louisesands</dc:creator>
  <cp:lastModifiedBy>louisesands</cp:lastModifiedBy>
  <dcterms:modified xsi:type="dcterms:W3CDTF">2020-10-21T08:56:41Z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