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contextualSpacing/>
        <w:jc w:val="center"/>
        <w:rPr>
          <w:rFonts w:ascii="Arial" w:hAnsi="Arial" w:cs="Arial"/>
          <w:b/>
        </w:rPr>
      </w:pPr>
      <w:bookmarkStart w:id="0" w:name="_GoBack"/>
      <w:bookmarkEnd w:id="0"/>
      <w:r>
        <w:rPr>
          <w:rFonts w:ascii="Arial" w:hAnsi="Arial" w:cs="Arial"/>
          <w:b/>
        </w:rPr>
        <w:t>Service Level Agreement for Medical Undergraduate Teaching</w:t>
      </w:r>
    </w:p>
    <w:p>
      <w:pPr>
        <w:jc w:val="center"/>
        <w:rPr>
          <w:rFonts w:ascii="Arial" w:hAnsi="Arial" w:cs="Arial"/>
          <w:b/>
          <w:sz w:val="20"/>
          <w:szCs w:val="20"/>
        </w:rPr>
      </w:pPr>
      <w:r>
        <w:rPr>
          <w:rFonts w:ascii="Arial" w:hAnsi="Arial" w:cs="Arial"/>
          <w:b/>
        </w:rPr>
        <w:t>Provided by General Medical Practitioners</w:t>
      </w:r>
      <w:r>
        <w:rPr>
          <w:rFonts w:ascii="Arial" w:hAnsi="Arial" w:cs="Arial"/>
          <w:b/>
        </w:rPr>
        <w:br w:type="textWrapping"/>
      </w:r>
      <w:r>
        <w:rPr>
          <w:rFonts w:ascii="Arial" w:hAnsi="Arial" w:cs="Arial"/>
          <w:b/>
          <w:sz w:val="20"/>
          <w:szCs w:val="20"/>
        </w:rPr>
        <w:t>(for which SUMDE is paid by Department of Health)</w:t>
      </w:r>
    </w:p>
    <w:p>
      <w:pPr>
        <w:contextualSpacing/>
        <w:jc w:val="center"/>
        <w:rPr>
          <w:rFonts w:ascii="Arial" w:hAnsi="Arial" w:cs="Arial"/>
        </w:rPr>
      </w:pPr>
    </w:p>
    <w:p>
      <w:pPr>
        <w:contextualSpacing/>
        <w:jc w:val="center"/>
        <w:rPr>
          <w:rFonts w:ascii="Arial" w:hAnsi="Arial" w:cs="Arial"/>
          <w:b/>
          <w:sz w:val="20"/>
          <w:szCs w:val="20"/>
        </w:rPr>
      </w:pPr>
      <w:r>
        <w:rPr>
          <w:rFonts w:ascii="Arial" w:hAnsi="Arial" w:cs="Arial"/>
        </w:rPr>
        <w:br w:type="textWrapping"/>
      </w:r>
      <w:r>
        <w:rPr>
          <w:rFonts w:ascii="Arial" w:hAnsi="Arial" w:cs="Arial"/>
          <w:b/>
          <w:sz w:val="20"/>
          <w:szCs w:val="20"/>
        </w:rPr>
        <w:t>This AGREEMENT is a rolling contract from 1 August 2020</w:t>
      </w:r>
    </w:p>
    <w:p>
      <w:pPr>
        <w:contextualSpacing/>
        <w:jc w:val="center"/>
        <w:rPr>
          <w:rFonts w:ascii="Arial" w:hAnsi="Arial" w:cs="Arial"/>
          <w:b/>
          <w:sz w:val="20"/>
          <w:szCs w:val="20"/>
        </w:rPr>
      </w:pPr>
      <w:r>
        <w:rPr>
          <w:rFonts w:ascii="Arial" w:hAnsi="Arial" w:cs="Arial"/>
          <w:b/>
          <w:sz w:val="20"/>
          <w:szCs w:val="20"/>
        </w:rPr>
        <w:t>BETWEEN:</w:t>
      </w:r>
    </w:p>
    <w:p>
      <w:pPr>
        <w:contextualSpacing/>
        <w:jc w:val="center"/>
        <w:rPr>
          <w:rFonts w:ascii="Arial" w:hAnsi="Arial" w:cs="Arial"/>
          <w:sz w:val="20"/>
          <w:szCs w:val="20"/>
        </w:rPr>
      </w:pPr>
    </w:p>
    <w:p>
      <w:pPr>
        <w:contextualSpacing/>
        <w:jc w:val="center"/>
        <w:rPr>
          <w:rFonts w:ascii="Arial" w:hAnsi="Arial" w:cs="Arial"/>
          <w:b/>
          <w:sz w:val="20"/>
          <w:szCs w:val="20"/>
        </w:rPr>
      </w:pPr>
      <w:r>
        <w:rPr>
          <w:rFonts w:ascii="Arial" w:hAnsi="Arial" w:cs="Arial"/>
          <w:b/>
          <w:sz w:val="20"/>
          <w:szCs w:val="20"/>
        </w:rPr>
        <w:t>THE GENERAL MEDICAL PRACTICE OF</w:t>
      </w:r>
    </w:p>
    <w:p>
      <w:pPr>
        <w:pStyle w:val="20"/>
        <w:tabs>
          <w:tab w:val="left" w:pos="567"/>
          <w:tab w:val="clear" w:pos="4153"/>
          <w:tab w:val="clear" w:pos="8306"/>
        </w:tabs>
        <w:contextualSpacing/>
        <w:rPr>
          <w:rFonts w:ascii="Arial" w:hAnsi="Arial" w:cs="Arial"/>
          <w:sz w:val="20"/>
          <w:lang w:val="en-GB"/>
        </w:rPr>
      </w:pPr>
    </w:p>
    <w:tbl>
      <w:tblPr>
        <w:tblStyle w:val="29"/>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tcPr>
          <w:p>
            <w:pPr>
              <w:pStyle w:val="20"/>
              <w:tabs>
                <w:tab w:val="left" w:pos="567"/>
                <w:tab w:val="clear" w:pos="4153"/>
                <w:tab w:val="clear" w:pos="8306"/>
              </w:tabs>
              <w:contextualSpacing/>
              <w:rPr>
                <w:rFonts w:ascii="Arial" w:hAnsi="Arial" w:eastAsia="Calibri" w:cs="Arial"/>
                <w:sz w:val="20"/>
              </w:rPr>
            </w:pPr>
            <w:r>
              <w:rPr>
                <w:rFonts w:ascii="Arial" w:hAnsi="Arial" w:eastAsia="Calibri" w:cs="Arial"/>
                <w:sz w:val="20"/>
              </w:rPr>
              <w:t>Practice Code:</w:t>
            </w:r>
          </w:p>
          <w:p>
            <w:pPr>
              <w:pStyle w:val="20"/>
              <w:tabs>
                <w:tab w:val="left" w:pos="567"/>
                <w:tab w:val="clear" w:pos="4153"/>
                <w:tab w:val="clear" w:pos="8306"/>
              </w:tabs>
              <w:contextualSpacing/>
              <w:rPr>
                <w:rFonts w:ascii="Arial" w:hAnsi="Arial" w:eastAsia="Calibri" w:cs="Arial"/>
                <w:sz w:val="20"/>
                <w:lang w:val="en-GB"/>
              </w:rPr>
            </w:pPr>
          </w:p>
        </w:tc>
        <w:tc>
          <w:tcPr>
            <w:tcW w:w="6804" w:type="dxa"/>
            <w:tcBorders>
              <w:top w:val="single" w:color="auto" w:sz="4" w:space="0"/>
              <w:left w:val="single" w:color="auto" w:sz="4" w:space="0"/>
              <w:bottom w:val="single" w:color="auto" w:sz="4" w:space="0"/>
              <w:right w:val="single" w:color="auto" w:sz="4" w:space="0"/>
            </w:tcBorders>
          </w:tcPr>
          <w:p>
            <w:pPr>
              <w:pStyle w:val="20"/>
              <w:tabs>
                <w:tab w:val="left" w:pos="567"/>
                <w:tab w:val="clear" w:pos="4153"/>
                <w:tab w:val="clear" w:pos="8306"/>
              </w:tabs>
              <w:contextualSpacing/>
              <w:rPr>
                <w:rFonts w:ascii="Arial" w:hAnsi="Arial" w:eastAsia="Calibri" w:cs="Arial"/>
                <w:sz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tcPr>
          <w:p>
            <w:pPr>
              <w:pStyle w:val="20"/>
              <w:tabs>
                <w:tab w:val="left" w:pos="567"/>
                <w:tab w:val="clear" w:pos="4153"/>
                <w:tab w:val="clear" w:pos="8306"/>
              </w:tabs>
              <w:contextualSpacing/>
              <w:rPr>
                <w:rFonts w:ascii="Arial" w:hAnsi="Arial" w:eastAsia="Calibri" w:cs="Arial"/>
                <w:sz w:val="20"/>
              </w:rPr>
            </w:pPr>
            <w:r>
              <w:rPr>
                <w:rFonts w:ascii="Arial" w:hAnsi="Arial" w:eastAsia="Calibri" w:cs="Arial"/>
                <w:sz w:val="20"/>
              </w:rPr>
              <w:t>Practice Name:</w:t>
            </w:r>
          </w:p>
          <w:p>
            <w:pPr>
              <w:pStyle w:val="20"/>
              <w:tabs>
                <w:tab w:val="left" w:pos="567"/>
                <w:tab w:val="clear" w:pos="4153"/>
                <w:tab w:val="clear" w:pos="8306"/>
              </w:tabs>
              <w:contextualSpacing/>
              <w:rPr>
                <w:rFonts w:ascii="Arial" w:hAnsi="Arial" w:eastAsia="Calibri" w:cs="Arial"/>
                <w:sz w:val="20"/>
                <w:lang w:val="en-GB"/>
              </w:rPr>
            </w:pPr>
          </w:p>
        </w:tc>
        <w:tc>
          <w:tcPr>
            <w:tcW w:w="6804" w:type="dxa"/>
            <w:tcBorders>
              <w:top w:val="single" w:color="auto" w:sz="4" w:space="0"/>
              <w:left w:val="single" w:color="auto" w:sz="4" w:space="0"/>
              <w:bottom w:val="single" w:color="auto" w:sz="4" w:space="0"/>
              <w:right w:val="single" w:color="auto" w:sz="4" w:space="0"/>
            </w:tcBorders>
          </w:tcPr>
          <w:p>
            <w:pPr>
              <w:pStyle w:val="20"/>
              <w:tabs>
                <w:tab w:val="left" w:pos="567"/>
                <w:tab w:val="clear" w:pos="4153"/>
                <w:tab w:val="clear" w:pos="8306"/>
              </w:tabs>
              <w:contextualSpacing/>
              <w:rPr>
                <w:rFonts w:ascii="Arial" w:hAnsi="Arial" w:eastAsia="Calibri" w:cs="Arial"/>
                <w:sz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tcPr>
          <w:p>
            <w:pPr>
              <w:contextualSpacing/>
              <w:rPr>
                <w:rFonts w:ascii="Arial" w:hAnsi="Arial" w:eastAsia="Calibri" w:cs="Arial"/>
                <w:sz w:val="20"/>
                <w:szCs w:val="20"/>
              </w:rPr>
            </w:pPr>
            <w:r>
              <w:rPr>
                <w:rFonts w:ascii="Arial" w:hAnsi="Arial" w:eastAsia="Calibri" w:cs="Arial"/>
                <w:sz w:val="20"/>
                <w:szCs w:val="20"/>
              </w:rPr>
              <w:t>Address:</w:t>
            </w:r>
          </w:p>
          <w:p>
            <w:pPr>
              <w:contextualSpacing/>
              <w:rPr>
                <w:rFonts w:ascii="Arial" w:hAnsi="Arial" w:eastAsia="Calibri" w:cs="Arial"/>
                <w:sz w:val="20"/>
                <w:szCs w:val="20"/>
              </w:rPr>
            </w:pPr>
          </w:p>
          <w:p>
            <w:pPr>
              <w:contextualSpacing/>
              <w:rPr>
                <w:rFonts w:ascii="Arial" w:hAnsi="Arial" w:eastAsia="Calibri" w:cs="Arial"/>
                <w:sz w:val="20"/>
                <w:szCs w:val="20"/>
              </w:rPr>
            </w:pPr>
          </w:p>
          <w:p>
            <w:pPr>
              <w:pStyle w:val="20"/>
              <w:tabs>
                <w:tab w:val="left" w:pos="567"/>
                <w:tab w:val="clear" w:pos="4153"/>
                <w:tab w:val="clear" w:pos="8306"/>
              </w:tabs>
              <w:contextualSpacing/>
              <w:rPr>
                <w:rFonts w:ascii="Arial" w:hAnsi="Arial" w:eastAsia="Calibri" w:cs="Arial"/>
                <w:sz w:val="20"/>
                <w:lang w:val="en-GB"/>
              </w:rPr>
            </w:pPr>
          </w:p>
        </w:tc>
        <w:tc>
          <w:tcPr>
            <w:tcW w:w="6804" w:type="dxa"/>
            <w:tcBorders>
              <w:top w:val="single" w:color="auto" w:sz="4" w:space="0"/>
              <w:left w:val="single" w:color="auto" w:sz="4" w:space="0"/>
              <w:bottom w:val="single" w:color="auto" w:sz="4" w:space="0"/>
              <w:right w:val="single" w:color="auto" w:sz="4" w:space="0"/>
            </w:tcBorders>
          </w:tcPr>
          <w:p>
            <w:pPr>
              <w:pStyle w:val="20"/>
              <w:tabs>
                <w:tab w:val="left" w:pos="567"/>
                <w:tab w:val="clear" w:pos="4153"/>
                <w:tab w:val="clear" w:pos="8306"/>
              </w:tabs>
              <w:contextualSpacing/>
              <w:rPr>
                <w:rFonts w:ascii="Arial" w:hAnsi="Arial" w:eastAsia="Calibri" w:cs="Arial"/>
                <w:sz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tcPr>
          <w:p>
            <w:pPr>
              <w:pStyle w:val="20"/>
              <w:tabs>
                <w:tab w:val="left" w:pos="567"/>
                <w:tab w:val="clear" w:pos="4153"/>
                <w:tab w:val="clear" w:pos="8306"/>
              </w:tabs>
              <w:contextualSpacing/>
              <w:rPr>
                <w:rFonts w:ascii="Arial" w:hAnsi="Arial" w:eastAsia="Calibri" w:cs="Arial"/>
                <w:sz w:val="20"/>
              </w:rPr>
            </w:pPr>
            <w:r>
              <w:rPr>
                <w:rFonts w:ascii="Arial" w:hAnsi="Arial" w:eastAsia="Calibri" w:cs="Arial"/>
                <w:sz w:val="20"/>
              </w:rPr>
              <w:t>Postcode:</w:t>
            </w:r>
          </w:p>
          <w:p>
            <w:pPr>
              <w:pStyle w:val="20"/>
              <w:tabs>
                <w:tab w:val="left" w:pos="567"/>
                <w:tab w:val="clear" w:pos="4153"/>
                <w:tab w:val="clear" w:pos="8306"/>
              </w:tabs>
              <w:contextualSpacing/>
              <w:rPr>
                <w:rFonts w:ascii="Arial" w:hAnsi="Arial" w:eastAsia="Calibri" w:cs="Arial"/>
                <w:sz w:val="20"/>
                <w:lang w:val="en-GB"/>
              </w:rPr>
            </w:pPr>
          </w:p>
        </w:tc>
        <w:tc>
          <w:tcPr>
            <w:tcW w:w="6804" w:type="dxa"/>
            <w:tcBorders>
              <w:top w:val="single" w:color="auto" w:sz="4" w:space="0"/>
              <w:left w:val="single" w:color="auto" w:sz="4" w:space="0"/>
              <w:bottom w:val="single" w:color="auto" w:sz="4" w:space="0"/>
              <w:right w:val="single" w:color="auto" w:sz="4" w:space="0"/>
            </w:tcBorders>
          </w:tcPr>
          <w:p>
            <w:pPr>
              <w:pStyle w:val="20"/>
              <w:tabs>
                <w:tab w:val="left" w:pos="567"/>
                <w:tab w:val="clear" w:pos="4153"/>
                <w:tab w:val="clear" w:pos="8306"/>
              </w:tabs>
              <w:contextualSpacing/>
              <w:rPr>
                <w:rFonts w:ascii="Arial" w:hAnsi="Arial" w:eastAsia="Calibri" w:cs="Arial"/>
                <w:sz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tcPr>
          <w:p>
            <w:pPr>
              <w:pStyle w:val="20"/>
              <w:tabs>
                <w:tab w:val="left" w:pos="567"/>
                <w:tab w:val="clear" w:pos="4153"/>
                <w:tab w:val="clear" w:pos="8306"/>
              </w:tabs>
              <w:contextualSpacing/>
              <w:rPr>
                <w:rFonts w:ascii="Arial" w:hAnsi="Arial" w:eastAsia="Calibri" w:cs="Arial"/>
                <w:sz w:val="20"/>
              </w:rPr>
            </w:pPr>
            <w:r>
              <w:rPr>
                <w:rFonts w:ascii="Arial" w:hAnsi="Arial" w:eastAsia="Calibri" w:cs="Arial"/>
                <w:sz w:val="20"/>
              </w:rPr>
              <w:t>Telephone Number:</w:t>
            </w:r>
          </w:p>
          <w:p>
            <w:pPr>
              <w:pStyle w:val="20"/>
              <w:tabs>
                <w:tab w:val="left" w:pos="567"/>
                <w:tab w:val="clear" w:pos="4153"/>
                <w:tab w:val="clear" w:pos="8306"/>
              </w:tabs>
              <w:contextualSpacing/>
              <w:rPr>
                <w:rFonts w:ascii="Arial" w:hAnsi="Arial" w:eastAsia="Calibri" w:cs="Arial"/>
                <w:sz w:val="20"/>
                <w:lang w:val="en-GB"/>
              </w:rPr>
            </w:pPr>
          </w:p>
        </w:tc>
        <w:tc>
          <w:tcPr>
            <w:tcW w:w="6804" w:type="dxa"/>
            <w:tcBorders>
              <w:top w:val="single" w:color="auto" w:sz="4" w:space="0"/>
              <w:left w:val="single" w:color="auto" w:sz="4" w:space="0"/>
              <w:bottom w:val="single" w:color="auto" w:sz="4" w:space="0"/>
              <w:right w:val="single" w:color="auto" w:sz="4" w:space="0"/>
            </w:tcBorders>
          </w:tcPr>
          <w:p>
            <w:pPr>
              <w:pStyle w:val="20"/>
              <w:tabs>
                <w:tab w:val="left" w:pos="567"/>
                <w:tab w:val="clear" w:pos="4153"/>
                <w:tab w:val="clear" w:pos="8306"/>
              </w:tabs>
              <w:contextualSpacing/>
              <w:rPr>
                <w:rFonts w:ascii="Arial" w:hAnsi="Arial" w:eastAsia="Calibri" w:cs="Arial"/>
                <w:sz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tcPr>
          <w:p>
            <w:pPr>
              <w:pStyle w:val="20"/>
              <w:tabs>
                <w:tab w:val="left" w:pos="567"/>
                <w:tab w:val="clear" w:pos="4153"/>
                <w:tab w:val="clear" w:pos="8306"/>
              </w:tabs>
              <w:contextualSpacing/>
              <w:rPr>
                <w:rFonts w:ascii="Arial" w:hAnsi="Arial" w:eastAsia="Calibri" w:cs="Arial"/>
                <w:sz w:val="20"/>
              </w:rPr>
            </w:pPr>
            <w:r>
              <w:rPr>
                <w:rFonts w:ascii="Arial" w:hAnsi="Arial" w:eastAsia="Calibri" w:cs="Arial"/>
                <w:sz w:val="20"/>
              </w:rPr>
              <w:t>Practice Email:</w:t>
            </w:r>
          </w:p>
          <w:p>
            <w:pPr>
              <w:pStyle w:val="20"/>
              <w:tabs>
                <w:tab w:val="left" w:pos="567"/>
                <w:tab w:val="clear" w:pos="4153"/>
                <w:tab w:val="clear" w:pos="8306"/>
              </w:tabs>
              <w:contextualSpacing/>
              <w:rPr>
                <w:rFonts w:ascii="Arial" w:hAnsi="Arial" w:eastAsia="Calibri" w:cs="Arial"/>
                <w:sz w:val="20"/>
                <w:lang w:val="en-GB"/>
              </w:rPr>
            </w:pPr>
          </w:p>
        </w:tc>
        <w:tc>
          <w:tcPr>
            <w:tcW w:w="6804" w:type="dxa"/>
            <w:tcBorders>
              <w:top w:val="single" w:color="auto" w:sz="4" w:space="0"/>
              <w:left w:val="single" w:color="auto" w:sz="4" w:space="0"/>
              <w:bottom w:val="single" w:color="auto" w:sz="4" w:space="0"/>
              <w:right w:val="single" w:color="auto" w:sz="4" w:space="0"/>
            </w:tcBorders>
          </w:tcPr>
          <w:p>
            <w:pPr>
              <w:pStyle w:val="20"/>
              <w:tabs>
                <w:tab w:val="left" w:pos="567"/>
                <w:tab w:val="clear" w:pos="4153"/>
                <w:tab w:val="clear" w:pos="8306"/>
              </w:tabs>
              <w:contextualSpacing/>
              <w:rPr>
                <w:rFonts w:ascii="Arial" w:hAnsi="Arial" w:eastAsia="Calibri" w:cs="Arial"/>
                <w:sz w:val="20"/>
                <w:lang w:val="en-GB"/>
              </w:rPr>
            </w:pPr>
          </w:p>
        </w:tc>
      </w:tr>
    </w:tbl>
    <w:p>
      <w:pPr>
        <w:rPr>
          <w:rFonts w:ascii="Arial" w:hAnsi="Arial" w:cs="Arial"/>
          <w:sz w:val="20"/>
          <w:szCs w:val="20"/>
        </w:rPr>
      </w:pPr>
    </w:p>
    <w:p>
      <w:pPr>
        <w:rPr>
          <w:rFonts w:ascii="Arial" w:hAnsi="Arial" w:cs="Arial"/>
          <w:sz w:val="20"/>
          <w:szCs w:val="20"/>
        </w:rPr>
      </w:pPr>
    </w:p>
    <w:p>
      <w:pPr>
        <w:rPr>
          <w:rFonts w:ascii="Arial" w:hAnsi="Arial" w:cs="Arial"/>
          <w:sz w:val="20"/>
          <w:szCs w:val="20"/>
        </w:rPr>
      </w:pPr>
      <w:r>
        <w:rPr>
          <w:rFonts w:ascii="Arial" w:hAnsi="Arial" w:cs="Arial"/>
          <w:b/>
          <w:bCs/>
          <w:sz w:val="20"/>
          <w:szCs w:val="20"/>
        </w:rPr>
        <w:t xml:space="preserve">RESPONSIBLE TUTOR (*on behalf of GPs named below) </w:t>
      </w:r>
      <w:r>
        <w:rPr>
          <w:rFonts w:ascii="Arial" w:hAnsi="Arial" w:cs="Arial"/>
          <w:b/>
          <w:bCs/>
          <w:sz w:val="20"/>
          <w:szCs w:val="20"/>
        </w:rPr>
        <w:br w:type="textWrapping"/>
      </w:r>
    </w:p>
    <w:tbl>
      <w:tblPr>
        <w:tblStyle w:val="29"/>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2977"/>
        <w:gridCol w:w="226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tcPr>
          <w:p>
            <w:pPr>
              <w:pStyle w:val="20"/>
              <w:tabs>
                <w:tab w:val="left" w:pos="567"/>
                <w:tab w:val="clear" w:pos="4153"/>
                <w:tab w:val="clear" w:pos="8306"/>
              </w:tabs>
              <w:contextualSpacing/>
              <w:rPr>
                <w:rFonts w:ascii="Arial" w:hAnsi="Arial" w:eastAsia="Calibri" w:cs="Arial"/>
                <w:sz w:val="20"/>
                <w:lang w:val="en-GB"/>
              </w:rPr>
            </w:pPr>
            <w:r>
              <w:rPr>
                <w:rFonts w:ascii="Arial" w:hAnsi="Arial" w:eastAsia="Calibri" w:cs="Arial"/>
                <w:sz w:val="20"/>
                <w:lang w:val="en-GB"/>
              </w:rPr>
              <w:t xml:space="preserve">Signature: </w:t>
            </w:r>
          </w:p>
          <w:p>
            <w:pPr>
              <w:pStyle w:val="20"/>
              <w:tabs>
                <w:tab w:val="left" w:pos="567"/>
                <w:tab w:val="clear" w:pos="4153"/>
                <w:tab w:val="clear" w:pos="8306"/>
              </w:tabs>
              <w:contextualSpacing/>
              <w:rPr>
                <w:rFonts w:ascii="Arial" w:hAnsi="Arial" w:eastAsia="Calibri" w:cs="Arial"/>
                <w:sz w:val="20"/>
                <w:lang w:val="en-GB"/>
              </w:rPr>
            </w:pPr>
          </w:p>
        </w:tc>
        <w:tc>
          <w:tcPr>
            <w:tcW w:w="2977" w:type="dxa"/>
            <w:tcBorders>
              <w:top w:val="single" w:color="auto" w:sz="4" w:space="0"/>
              <w:left w:val="single" w:color="auto" w:sz="4" w:space="0"/>
              <w:bottom w:val="single" w:color="auto" w:sz="4" w:space="0"/>
              <w:right w:val="single" w:color="auto" w:sz="4" w:space="0"/>
            </w:tcBorders>
          </w:tcPr>
          <w:p>
            <w:pPr>
              <w:pStyle w:val="20"/>
              <w:tabs>
                <w:tab w:val="left" w:pos="567"/>
                <w:tab w:val="clear" w:pos="4153"/>
                <w:tab w:val="clear" w:pos="8306"/>
              </w:tabs>
              <w:contextualSpacing/>
              <w:rPr>
                <w:rFonts w:ascii="Arial" w:hAnsi="Arial" w:eastAsia="Calibri" w:cs="Arial"/>
                <w:sz w:val="20"/>
                <w:lang w:val="en-GB"/>
              </w:rPr>
            </w:pPr>
          </w:p>
        </w:tc>
        <w:tc>
          <w:tcPr>
            <w:tcW w:w="2268" w:type="dxa"/>
            <w:tcBorders>
              <w:top w:val="single" w:color="auto" w:sz="4" w:space="0"/>
              <w:left w:val="single" w:color="auto" w:sz="4" w:space="0"/>
              <w:bottom w:val="single" w:color="auto" w:sz="4" w:space="0"/>
              <w:right w:val="single" w:color="auto" w:sz="4" w:space="0"/>
            </w:tcBorders>
          </w:tcPr>
          <w:p>
            <w:pPr>
              <w:pStyle w:val="20"/>
              <w:tabs>
                <w:tab w:val="left" w:pos="567"/>
                <w:tab w:val="clear" w:pos="4153"/>
                <w:tab w:val="clear" w:pos="8306"/>
              </w:tabs>
              <w:contextualSpacing/>
              <w:rPr>
                <w:rFonts w:ascii="Arial" w:hAnsi="Arial" w:eastAsia="Calibri" w:cs="Arial"/>
                <w:sz w:val="20"/>
                <w:lang w:val="en-GB"/>
              </w:rPr>
            </w:pPr>
            <w:r>
              <w:rPr>
                <w:rFonts w:ascii="Arial" w:hAnsi="Arial" w:eastAsia="Calibri" w:cs="Arial"/>
                <w:sz w:val="20"/>
                <w:lang w:val="en-GB"/>
              </w:rPr>
              <w:t>Date:</w:t>
            </w:r>
          </w:p>
        </w:tc>
        <w:tc>
          <w:tcPr>
            <w:tcW w:w="2268" w:type="dxa"/>
            <w:tcBorders>
              <w:top w:val="single" w:color="auto" w:sz="4" w:space="0"/>
              <w:left w:val="single" w:color="auto" w:sz="4" w:space="0"/>
              <w:bottom w:val="single" w:color="auto" w:sz="4" w:space="0"/>
              <w:right w:val="single" w:color="auto" w:sz="4" w:space="0"/>
            </w:tcBorders>
          </w:tcPr>
          <w:p>
            <w:pPr>
              <w:pStyle w:val="20"/>
              <w:tabs>
                <w:tab w:val="left" w:pos="567"/>
                <w:tab w:val="clear" w:pos="4153"/>
                <w:tab w:val="clear" w:pos="8306"/>
              </w:tabs>
              <w:contextualSpacing/>
              <w:rPr>
                <w:rFonts w:ascii="Arial" w:hAnsi="Arial" w:eastAsia="Calibri" w:cs="Arial"/>
                <w:sz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tcPr>
          <w:p>
            <w:pPr>
              <w:pStyle w:val="20"/>
              <w:tabs>
                <w:tab w:val="left" w:pos="567"/>
                <w:tab w:val="clear" w:pos="4153"/>
                <w:tab w:val="clear" w:pos="8306"/>
              </w:tabs>
              <w:contextualSpacing/>
              <w:rPr>
                <w:rFonts w:ascii="Arial" w:hAnsi="Arial" w:eastAsia="Calibri" w:cs="Arial"/>
                <w:sz w:val="20"/>
                <w:lang w:val="en-GB"/>
              </w:rPr>
            </w:pPr>
            <w:r>
              <w:rPr>
                <w:rFonts w:ascii="Arial" w:hAnsi="Arial" w:eastAsia="Calibri" w:cs="Arial"/>
                <w:sz w:val="20"/>
                <w:lang w:val="en-GB"/>
              </w:rPr>
              <w:t>Print Name:</w:t>
            </w:r>
          </w:p>
          <w:p>
            <w:pPr>
              <w:pStyle w:val="20"/>
              <w:tabs>
                <w:tab w:val="left" w:pos="567"/>
                <w:tab w:val="clear" w:pos="4153"/>
                <w:tab w:val="clear" w:pos="8306"/>
              </w:tabs>
              <w:contextualSpacing/>
              <w:rPr>
                <w:rFonts w:ascii="Arial" w:hAnsi="Arial" w:eastAsia="Calibri" w:cs="Arial"/>
                <w:sz w:val="20"/>
                <w:lang w:val="en-GB"/>
              </w:rPr>
            </w:pPr>
          </w:p>
        </w:tc>
        <w:tc>
          <w:tcPr>
            <w:tcW w:w="2977" w:type="dxa"/>
            <w:tcBorders>
              <w:top w:val="single" w:color="auto" w:sz="4" w:space="0"/>
              <w:left w:val="single" w:color="auto" w:sz="4" w:space="0"/>
              <w:bottom w:val="single" w:color="auto" w:sz="4" w:space="0"/>
              <w:right w:val="single" w:color="auto" w:sz="4" w:space="0"/>
            </w:tcBorders>
          </w:tcPr>
          <w:p>
            <w:pPr>
              <w:pStyle w:val="20"/>
              <w:tabs>
                <w:tab w:val="left" w:pos="567"/>
                <w:tab w:val="clear" w:pos="4153"/>
                <w:tab w:val="clear" w:pos="8306"/>
              </w:tabs>
              <w:contextualSpacing/>
              <w:rPr>
                <w:rFonts w:ascii="Arial" w:hAnsi="Arial" w:eastAsia="Calibri" w:cs="Arial"/>
                <w:sz w:val="20"/>
                <w:lang w:val="en-GB"/>
              </w:rPr>
            </w:pPr>
          </w:p>
        </w:tc>
        <w:tc>
          <w:tcPr>
            <w:tcW w:w="2268" w:type="dxa"/>
            <w:tcBorders>
              <w:top w:val="single" w:color="auto" w:sz="4" w:space="0"/>
              <w:left w:val="single" w:color="auto" w:sz="4" w:space="0"/>
              <w:bottom w:val="single" w:color="auto" w:sz="4" w:space="0"/>
              <w:right w:val="single" w:color="auto" w:sz="4" w:space="0"/>
            </w:tcBorders>
          </w:tcPr>
          <w:p>
            <w:pPr>
              <w:pStyle w:val="20"/>
              <w:tabs>
                <w:tab w:val="left" w:pos="567"/>
                <w:tab w:val="clear" w:pos="4153"/>
                <w:tab w:val="clear" w:pos="8306"/>
              </w:tabs>
              <w:contextualSpacing/>
              <w:rPr>
                <w:rFonts w:ascii="Arial" w:hAnsi="Arial" w:eastAsia="Calibri" w:cs="Arial"/>
                <w:sz w:val="20"/>
                <w:lang w:val="en-GB"/>
              </w:rPr>
            </w:pPr>
            <w:r>
              <w:rPr>
                <w:rFonts w:ascii="Arial" w:hAnsi="Arial" w:eastAsia="Calibri" w:cs="Arial"/>
                <w:sz w:val="20"/>
                <w:lang w:val="en-GB"/>
              </w:rPr>
              <w:t>GP Cypher Code:</w:t>
            </w:r>
          </w:p>
        </w:tc>
        <w:tc>
          <w:tcPr>
            <w:tcW w:w="2268" w:type="dxa"/>
            <w:tcBorders>
              <w:top w:val="single" w:color="auto" w:sz="4" w:space="0"/>
              <w:left w:val="single" w:color="auto" w:sz="4" w:space="0"/>
              <w:bottom w:val="single" w:color="auto" w:sz="4" w:space="0"/>
              <w:right w:val="single" w:color="auto" w:sz="4" w:space="0"/>
            </w:tcBorders>
          </w:tcPr>
          <w:p>
            <w:pPr>
              <w:pStyle w:val="20"/>
              <w:tabs>
                <w:tab w:val="left" w:pos="567"/>
                <w:tab w:val="clear" w:pos="4153"/>
                <w:tab w:val="clear" w:pos="8306"/>
              </w:tabs>
              <w:contextualSpacing/>
              <w:rPr>
                <w:rFonts w:ascii="Arial" w:hAnsi="Arial" w:eastAsia="Calibri" w:cs="Arial"/>
                <w:sz w:val="20"/>
                <w:lang w:val="en-GB"/>
              </w:rPr>
            </w:pPr>
          </w:p>
        </w:tc>
      </w:tr>
    </w:tbl>
    <w:p>
      <w:pPr>
        <w:rPr>
          <w:rFonts w:ascii="Arial" w:hAnsi="Arial" w:cs="Arial"/>
          <w:sz w:val="20"/>
          <w:szCs w:val="20"/>
        </w:rPr>
      </w:pPr>
    </w:p>
    <w:p>
      <w:pPr>
        <w:pStyle w:val="20"/>
        <w:tabs>
          <w:tab w:val="left" w:pos="567"/>
          <w:tab w:val="clear" w:pos="4153"/>
          <w:tab w:val="clear" w:pos="8306"/>
        </w:tabs>
        <w:contextualSpacing/>
        <w:rPr>
          <w:rFonts w:ascii="Arial" w:hAnsi="Arial" w:cs="Arial"/>
          <w:bCs/>
          <w:sz w:val="20"/>
        </w:rPr>
      </w:pPr>
    </w:p>
    <w:p>
      <w:pPr>
        <w:pStyle w:val="20"/>
        <w:tabs>
          <w:tab w:val="left" w:pos="567"/>
          <w:tab w:val="clear" w:pos="4153"/>
          <w:tab w:val="clear" w:pos="8306"/>
        </w:tabs>
        <w:contextualSpacing/>
        <w:rPr>
          <w:rFonts w:ascii="Arial" w:hAnsi="Arial" w:cs="Arial"/>
          <w:b/>
          <w:bCs/>
          <w:sz w:val="20"/>
        </w:rPr>
      </w:pPr>
      <w:r>
        <w:rPr>
          <w:rFonts w:ascii="Arial" w:hAnsi="Arial" w:cs="Arial"/>
          <w:b/>
          <w:bCs/>
          <w:sz w:val="20"/>
        </w:rPr>
        <w:t>*OTHER GPs IN THE PRACTICE (DO NOT INCLUDE LOCUMS)</w:t>
      </w:r>
    </w:p>
    <w:p>
      <w:pPr>
        <w:rPr>
          <w:rFonts w:ascii="Arial" w:hAnsi="Arial" w:cs="Arial"/>
          <w:sz w:val="20"/>
          <w:szCs w:val="20"/>
        </w:rPr>
      </w:pPr>
    </w:p>
    <w:tbl>
      <w:tblPr>
        <w:tblStyle w:val="29"/>
        <w:tblW w:w="91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6"/>
        <w:gridCol w:w="2296"/>
        <w:gridCol w:w="2296"/>
        <w:gridCol w:w="2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96" w:type="dxa"/>
            <w:tcBorders>
              <w:top w:val="single" w:color="auto" w:sz="4" w:space="0"/>
              <w:left w:val="single" w:color="auto" w:sz="4" w:space="0"/>
              <w:bottom w:val="single" w:color="auto" w:sz="4" w:space="0"/>
              <w:right w:val="single" w:color="auto" w:sz="4" w:space="0"/>
            </w:tcBorders>
          </w:tcPr>
          <w:p>
            <w:pPr>
              <w:pStyle w:val="20"/>
              <w:tabs>
                <w:tab w:val="left" w:pos="567"/>
                <w:tab w:val="clear" w:pos="4153"/>
                <w:tab w:val="clear" w:pos="8306"/>
              </w:tabs>
              <w:contextualSpacing/>
              <w:jc w:val="center"/>
              <w:rPr>
                <w:rFonts w:ascii="Arial" w:hAnsi="Arial" w:eastAsia="Calibri" w:cs="Arial"/>
                <w:sz w:val="20"/>
                <w:lang w:val="en-GB"/>
              </w:rPr>
            </w:pPr>
            <w:r>
              <w:rPr>
                <w:rFonts w:ascii="Arial" w:hAnsi="Arial" w:eastAsia="Calibri" w:cs="Arial"/>
                <w:sz w:val="20"/>
                <w:lang w:val="en-GB"/>
              </w:rPr>
              <w:t>GP Name</w:t>
            </w:r>
          </w:p>
        </w:tc>
        <w:tc>
          <w:tcPr>
            <w:tcW w:w="2296" w:type="dxa"/>
            <w:tcBorders>
              <w:top w:val="single" w:color="auto" w:sz="4" w:space="0"/>
              <w:left w:val="single" w:color="auto" w:sz="4" w:space="0"/>
              <w:bottom w:val="single" w:color="auto" w:sz="4" w:space="0"/>
              <w:right w:val="single" w:color="auto" w:sz="4" w:space="0"/>
            </w:tcBorders>
          </w:tcPr>
          <w:p>
            <w:pPr>
              <w:pStyle w:val="20"/>
              <w:tabs>
                <w:tab w:val="left" w:pos="567"/>
                <w:tab w:val="clear" w:pos="4153"/>
                <w:tab w:val="clear" w:pos="8306"/>
              </w:tabs>
              <w:contextualSpacing/>
              <w:jc w:val="center"/>
              <w:rPr>
                <w:rFonts w:ascii="Arial" w:hAnsi="Arial" w:eastAsia="Calibri" w:cs="Arial"/>
                <w:sz w:val="20"/>
                <w:lang w:val="en-GB"/>
              </w:rPr>
            </w:pPr>
            <w:r>
              <w:rPr>
                <w:rFonts w:ascii="Arial" w:hAnsi="Arial" w:eastAsia="Calibri" w:cs="Arial"/>
                <w:sz w:val="20"/>
                <w:lang w:val="en-GB"/>
              </w:rPr>
              <w:t>Cypher Code</w:t>
            </w:r>
          </w:p>
        </w:tc>
        <w:tc>
          <w:tcPr>
            <w:tcW w:w="2296" w:type="dxa"/>
            <w:tcBorders>
              <w:top w:val="single" w:color="auto" w:sz="4" w:space="0"/>
              <w:left w:val="single" w:color="auto" w:sz="4" w:space="0"/>
              <w:bottom w:val="single" w:color="auto" w:sz="4" w:space="0"/>
              <w:right w:val="single" w:color="auto" w:sz="4" w:space="0"/>
            </w:tcBorders>
          </w:tcPr>
          <w:p>
            <w:pPr>
              <w:pStyle w:val="20"/>
              <w:tabs>
                <w:tab w:val="left" w:pos="567"/>
                <w:tab w:val="clear" w:pos="4153"/>
                <w:tab w:val="clear" w:pos="8306"/>
              </w:tabs>
              <w:contextualSpacing/>
              <w:jc w:val="center"/>
              <w:rPr>
                <w:rFonts w:ascii="Arial" w:hAnsi="Arial" w:eastAsia="Calibri" w:cs="Arial"/>
                <w:sz w:val="20"/>
                <w:lang w:val="en-GB"/>
              </w:rPr>
            </w:pPr>
            <w:r>
              <w:rPr>
                <w:rFonts w:ascii="Arial" w:hAnsi="Arial" w:eastAsia="Calibri" w:cs="Arial"/>
                <w:sz w:val="20"/>
                <w:lang w:val="en-GB"/>
              </w:rPr>
              <w:t>GP Name</w:t>
            </w:r>
          </w:p>
        </w:tc>
        <w:tc>
          <w:tcPr>
            <w:tcW w:w="2296" w:type="dxa"/>
            <w:tcBorders>
              <w:top w:val="single" w:color="auto" w:sz="4" w:space="0"/>
              <w:left w:val="single" w:color="auto" w:sz="4" w:space="0"/>
              <w:bottom w:val="single" w:color="auto" w:sz="4" w:space="0"/>
              <w:right w:val="single" w:color="auto" w:sz="4" w:space="0"/>
            </w:tcBorders>
          </w:tcPr>
          <w:p>
            <w:pPr>
              <w:pStyle w:val="20"/>
              <w:tabs>
                <w:tab w:val="left" w:pos="567"/>
                <w:tab w:val="clear" w:pos="4153"/>
                <w:tab w:val="clear" w:pos="8306"/>
              </w:tabs>
              <w:contextualSpacing/>
              <w:jc w:val="center"/>
              <w:rPr>
                <w:rFonts w:ascii="Arial" w:hAnsi="Arial" w:eastAsia="Calibri" w:cs="Arial"/>
                <w:sz w:val="20"/>
                <w:lang w:val="en-GB"/>
              </w:rPr>
            </w:pPr>
            <w:r>
              <w:rPr>
                <w:rFonts w:ascii="Arial" w:hAnsi="Arial" w:eastAsia="Calibri" w:cs="Arial"/>
                <w:sz w:val="20"/>
                <w:lang w:val="en-GB"/>
              </w:rPr>
              <w:t>Cypher 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tcBorders>
              <w:top w:val="single" w:color="auto" w:sz="4" w:space="0"/>
              <w:left w:val="single" w:color="auto" w:sz="4" w:space="0"/>
              <w:bottom w:val="single" w:color="auto" w:sz="4" w:space="0"/>
              <w:right w:val="single" w:color="auto" w:sz="4" w:space="0"/>
            </w:tcBorders>
          </w:tcPr>
          <w:p>
            <w:pPr>
              <w:pStyle w:val="20"/>
              <w:tabs>
                <w:tab w:val="left" w:pos="567"/>
                <w:tab w:val="clear" w:pos="4153"/>
                <w:tab w:val="clear" w:pos="8306"/>
              </w:tabs>
              <w:contextualSpacing/>
              <w:rPr>
                <w:rFonts w:ascii="Arial" w:hAnsi="Arial" w:eastAsia="Calibri" w:cs="Arial"/>
                <w:sz w:val="20"/>
                <w:lang w:val="en-GB"/>
              </w:rPr>
            </w:pPr>
          </w:p>
          <w:p>
            <w:pPr>
              <w:pStyle w:val="20"/>
              <w:tabs>
                <w:tab w:val="left" w:pos="567"/>
                <w:tab w:val="clear" w:pos="4153"/>
                <w:tab w:val="clear" w:pos="8306"/>
              </w:tabs>
              <w:contextualSpacing/>
              <w:rPr>
                <w:rFonts w:ascii="Arial" w:hAnsi="Arial" w:eastAsia="Calibri" w:cs="Arial"/>
                <w:sz w:val="20"/>
                <w:lang w:val="en-GB"/>
              </w:rPr>
            </w:pPr>
          </w:p>
        </w:tc>
        <w:tc>
          <w:tcPr>
            <w:tcW w:w="2296" w:type="dxa"/>
            <w:tcBorders>
              <w:top w:val="single" w:color="auto" w:sz="4" w:space="0"/>
              <w:left w:val="single" w:color="auto" w:sz="4" w:space="0"/>
              <w:bottom w:val="single" w:color="auto" w:sz="4" w:space="0"/>
              <w:right w:val="single" w:color="auto" w:sz="4" w:space="0"/>
            </w:tcBorders>
          </w:tcPr>
          <w:p>
            <w:pPr>
              <w:pStyle w:val="20"/>
              <w:tabs>
                <w:tab w:val="left" w:pos="567"/>
                <w:tab w:val="clear" w:pos="4153"/>
                <w:tab w:val="clear" w:pos="8306"/>
              </w:tabs>
              <w:contextualSpacing/>
              <w:rPr>
                <w:rFonts w:ascii="Arial" w:hAnsi="Arial" w:eastAsia="Calibri" w:cs="Arial"/>
                <w:sz w:val="20"/>
                <w:lang w:val="en-GB"/>
              </w:rPr>
            </w:pPr>
          </w:p>
        </w:tc>
        <w:tc>
          <w:tcPr>
            <w:tcW w:w="2296" w:type="dxa"/>
            <w:tcBorders>
              <w:top w:val="single" w:color="auto" w:sz="4" w:space="0"/>
              <w:left w:val="single" w:color="auto" w:sz="4" w:space="0"/>
              <w:bottom w:val="single" w:color="auto" w:sz="4" w:space="0"/>
              <w:right w:val="single" w:color="auto" w:sz="4" w:space="0"/>
            </w:tcBorders>
          </w:tcPr>
          <w:p>
            <w:pPr>
              <w:pStyle w:val="20"/>
              <w:tabs>
                <w:tab w:val="left" w:pos="567"/>
                <w:tab w:val="clear" w:pos="4153"/>
                <w:tab w:val="clear" w:pos="8306"/>
              </w:tabs>
              <w:contextualSpacing/>
              <w:rPr>
                <w:rFonts w:ascii="Arial" w:hAnsi="Arial" w:eastAsia="Calibri" w:cs="Arial"/>
                <w:sz w:val="20"/>
                <w:lang w:val="en-GB"/>
              </w:rPr>
            </w:pPr>
          </w:p>
        </w:tc>
        <w:tc>
          <w:tcPr>
            <w:tcW w:w="2296" w:type="dxa"/>
            <w:tcBorders>
              <w:top w:val="single" w:color="auto" w:sz="4" w:space="0"/>
              <w:left w:val="single" w:color="auto" w:sz="4" w:space="0"/>
              <w:bottom w:val="single" w:color="auto" w:sz="4" w:space="0"/>
              <w:right w:val="single" w:color="auto" w:sz="4" w:space="0"/>
            </w:tcBorders>
          </w:tcPr>
          <w:p>
            <w:pPr>
              <w:pStyle w:val="20"/>
              <w:tabs>
                <w:tab w:val="left" w:pos="567"/>
                <w:tab w:val="clear" w:pos="4153"/>
                <w:tab w:val="clear" w:pos="8306"/>
              </w:tabs>
              <w:contextualSpacing/>
              <w:rPr>
                <w:rFonts w:ascii="Arial" w:hAnsi="Arial" w:eastAsia="Calibri" w:cs="Arial"/>
                <w:sz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tcBorders>
              <w:top w:val="single" w:color="auto" w:sz="4" w:space="0"/>
              <w:left w:val="single" w:color="auto" w:sz="4" w:space="0"/>
              <w:bottom w:val="single" w:color="auto" w:sz="4" w:space="0"/>
              <w:right w:val="single" w:color="auto" w:sz="4" w:space="0"/>
            </w:tcBorders>
          </w:tcPr>
          <w:p>
            <w:pPr>
              <w:pStyle w:val="20"/>
              <w:tabs>
                <w:tab w:val="left" w:pos="567"/>
                <w:tab w:val="clear" w:pos="4153"/>
                <w:tab w:val="clear" w:pos="8306"/>
              </w:tabs>
              <w:contextualSpacing/>
              <w:rPr>
                <w:rFonts w:ascii="Arial" w:hAnsi="Arial" w:eastAsia="Calibri" w:cs="Arial"/>
                <w:sz w:val="20"/>
                <w:lang w:val="en-GB"/>
              </w:rPr>
            </w:pPr>
          </w:p>
          <w:p>
            <w:pPr>
              <w:pStyle w:val="20"/>
              <w:tabs>
                <w:tab w:val="left" w:pos="567"/>
                <w:tab w:val="clear" w:pos="4153"/>
                <w:tab w:val="clear" w:pos="8306"/>
              </w:tabs>
              <w:contextualSpacing/>
              <w:rPr>
                <w:rFonts w:ascii="Arial" w:hAnsi="Arial" w:eastAsia="Calibri" w:cs="Arial"/>
                <w:sz w:val="20"/>
                <w:lang w:val="en-GB"/>
              </w:rPr>
            </w:pPr>
          </w:p>
        </w:tc>
        <w:tc>
          <w:tcPr>
            <w:tcW w:w="2296" w:type="dxa"/>
            <w:tcBorders>
              <w:top w:val="single" w:color="auto" w:sz="4" w:space="0"/>
              <w:left w:val="single" w:color="auto" w:sz="4" w:space="0"/>
              <w:bottom w:val="single" w:color="auto" w:sz="4" w:space="0"/>
              <w:right w:val="single" w:color="auto" w:sz="4" w:space="0"/>
            </w:tcBorders>
          </w:tcPr>
          <w:p>
            <w:pPr>
              <w:pStyle w:val="20"/>
              <w:tabs>
                <w:tab w:val="left" w:pos="567"/>
                <w:tab w:val="clear" w:pos="4153"/>
                <w:tab w:val="clear" w:pos="8306"/>
              </w:tabs>
              <w:contextualSpacing/>
              <w:rPr>
                <w:rFonts w:ascii="Arial" w:hAnsi="Arial" w:eastAsia="Calibri" w:cs="Arial"/>
                <w:sz w:val="20"/>
                <w:lang w:val="en-GB"/>
              </w:rPr>
            </w:pPr>
          </w:p>
        </w:tc>
        <w:tc>
          <w:tcPr>
            <w:tcW w:w="2296" w:type="dxa"/>
            <w:tcBorders>
              <w:top w:val="single" w:color="auto" w:sz="4" w:space="0"/>
              <w:left w:val="single" w:color="auto" w:sz="4" w:space="0"/>
              <w:bottom w:val="single" w:color="auto" w:sz="4" w:space="0"/>
              <w:right w:val="single" w:color="auto" w:sz="4" w:space="0"/>
            </w:tcBorders>
          </w:tcPr>
          <w:p>
            <w:pPr>
              <w:pStyle w:val="20"/>
              <w:tabs>
                <w:tab w:val="left" w:pos="567"/>
                <w:tab w:val="clear" w:pos="4153"/>
                <w:tab w:val="clear" w:pos="8306"/>
              </w:tabs>
              <w:contextualSpacing/>
              <w:rPr>
                <w:rFonts w:ascii="Arial" w:hAnsi="Arial" w:eastAsia="Calibri" w:cs="Arial"/>
                <w:sz w:val="20"/>
                <w:lang w:val="en-GB"/>
              </w:rPr>
            </w:pPr>
          </w:p>
        </w:tc>
        <w:tc>
          <w:tcPr>
            <w:tcW w:w="2296" w:type="dxa"/>
            <w:tcBorders>
              <w:top w:val="single" w:color="auto" w:sz="4" w:space="0"/>
              <w:left w:val="single" w:color="auto" w:sz="4" w:space="0"/>
              <w:bottom w:val="single" w:color="auto" w:sz="4" w:space="0"/>
              <w:right w:val="single" w:color="auto" w:sz="4" w:space="0"/>
            </w:tcBorders>
          </w:tcPr>
          <w:p>
            <w:pPr>
              <w:pStyle w:val="20"/>
              <w:tabs>
                <w:tab w:val="left" w:pos="567"/>
                <w:tab w:val="clear" w:pos="4153"/>
                <w:tab w:val="clear" w:pos="8306"/>
              </w:tabs>
              <w:contextualSpacing/>
              <w:rPr>
                <w:rFonts w:ascii="Arial" w:hAnsi="Arial" w:eastAsia="Calibri" w:cs="Arial"/>
                <w:sz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tcBorders>
              <w:top w:val="single" w:color="auto" w:sz="4" w:space="0"/>
              <w:left w:val="single" w:color="auto" w:sz="4" w:space="0"/>
              <w:bottom w:val="single" w:color="auto" w:sz="4" w:space="0"/>
              <w:right w:val="single" w:color="auto" w:sz="4" w:space="0"/>
            </w:tcBorders>
          </w:tcPr>
          <w:p>
            <w:pPr>
              <w:pStyle w:val="20"/>
              <w:tabs>
                <w:tab w:val="left" w:pos="567"/>
                <w:tab w:val="clear" w:pos="4153"/>
                <w:tab w:val="clear" w:pos="8306"/>
              </w:tabs>
              <w:contextualSpacing/>
              <w:rPr>
                <w:rFonts w:ascii="Arial" w:hAnsi="Arial" w:eastAsia="Calibri" w:cs="Arial"/>
                <w:sz w:val="20"/>
                <w:lang w:val="en-GB"/>
              </w:rPr>
            </w:pPr>
          </w:p>
          <w:p>
            <w:pPr>
              <w:pStyle w:val="20"/>
              <w:tabs>
                <w:tab w:val="left" w:pos="567"/>
                <w:tab w:val="clear" w:pos="4153"/>
                <w:tab w:val="clear" w:pos="8306"/>
              </w:tabs>
              <w:contextualSpacing/>
              <w:rPr>
                <w:rFonts w:ascii="Arial" w:hAnsi="Arial" w:eastAsia="Calibri" w:cs="Arial"/>
                <w:sz w:val="20"/>
                <w:lang w:val="en-GB"/>
              </w:rPr>
            </w:pPr>
          </w:p>
        </w:tc>
        <w:tc>
          <w:tcPr>
            <w:tcW w:w="2296" w:type="dxa"/>
            <w:tcBorders>
              <w:top w:val="single" w:color="auto" w:sz="4" w:space="0"/>
              <w:left w:val="single" w:color="auto" w:sz="4" w:space="0"/>
              <w:bottom w:val="single" w:color="auto" w:sz="4" w:space="0"/>
              <w:right w:val="single" w:color="auto" w:sz="4" w:space="0"/>
            </w:tcBorders>
          </w:tcPr>
          <w:p>
            <w:pPr>
              <w:pStyle w:val="20"/>
              <w:tabs>
                <w:tab w:val="left" w:pos="567"/>
                <w:tab w:val="clear" w:pos="4153"/>
                <w:tab w:val="clear" w:pos="8306"/>
              </w:tabs>
              <w:contextualSpacing/>
              <w:rPr>
                <w:rFonts w:ascii="Arial" w:hAnsi="Arial" w:eastAsia="Calibri" w:cs="Arial"/>
                <w:sz w:val="20"/>
                <w:lang w:val="en-GB"/>
              </w:rPr>
            </w:pPr>
          </w:p>
        </w:tc>
        <w:tc>
          <w:tcPr>
            <w:tcW w:w="2296" w:type="dxa"/>
            <w:tcBorders>
              <w:top w:val="single" w:color="auto" w:sz="4" w:space="0"/>
              <w:left w:val="single" w:color="auto" w:sz="4" w:space="0"/>
              <w:bottom w:val="single" w:color="auto" w:sz="4" w:space="0"/>
              <w:right w:val="single" w:color="auto" w:sz="4" w:space="0"/>
            </w:tcBorders>
          </w:tcPr>
          <w:p>
            <w:pPr>
              <w:pStyle w:val="20"/>
              <w:tabs>
                <w:tab w:val="left" w:pos="567"/>
                <w:tab w:val="clear" w:pos="4153"/>
                <w:tab w:val="clear" w:pos="8306"/>
              </w:tabs>
              <w:contextualSpacing/>
              <w:rPr>
                <w:rFonts w:ascii="Arial" w:hAnsi="Arial" w:eastAsia="Calibri" w:cs="Arial"/>
                <w:sz w:val="20"/>
                <w:lang w:val="en-GB"/>
              </w:rPr>
            </w:pPr>
          </w:p>
        </w:tc>
        <w:tc>
          <w:tcPr>
            <w:tcW w:w="2296" w:type="dxa"/>
            <w:tcBorders>
              <w:top w:val="single" w:color="auto" w:sz="4" w:space="0"/>
              <w:left w:val="single" w:color="auto" w:sz="4" w:space="0"/>
              <w:bottom w:val="single" w:color="auto" w:sz="4" w:space="0"/>
              <w:right w:val="single" w:color="auto" w:sz="4" w:space="0"/>
            </w:tcBorders>
          </w:tcPr>
          <w:p>
            <w:pPr>
              <w:pStyle w:val="20"/>
              <w:tabs>
                <w:tab w:val="left" w:pos="567"/>
                <w:tab w:val="clear" w:pos="4153"/>
                <w:tab w:val="clear" w:pos="8306"/>
              </w:tabs>
              <w:contextualSpacing/>
              <w:rPr>
                <w:rFonts w:ascii="Arial" w:hAnsi="Arial" w:eastAsia="Calibri" w:cs="Arial"/>
                <w:sz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tcBorders>
              <w:top w:val="single" w:color="auto" w:sz="4" w:space="0"/>
              <w:left w:val="single" w:color="auto" w:sz="4" w:space="0"/>
              <w:bottom w:val="single" w:color="auto" w:sz="4" w:space="0"/>
              <w:right w:val="single" w:color="auto" w:sz="4" w:space="0"/>
            </w:tcBorders>
          </w:tcPr>
          <w:p>
            <w:pPr>
              <w:pStyle w:val="20"/>
              <w:tabs>
                <w:tab w:val="left" w:pos="567"/>
                <w:tab w:val="clear" w:pos="4153"/>
                <w:tab w:val="clear" w:pos="8306"/>
              </w:tabs>
              <w:contextualSpacing/>
              <w:rPr>
                <w:rFonts w:ascii="Arial" w:hAnsi="Arial" w:eastAsia="Calibri" w:cs="Arial"/>
                <w:sz w:val="20"/>
                <w:lang w:val="en-GB"/>
              </w:rPr>
            </w:pPr>
          </w:p>
          <w:p>
            <w:pPr>
              <w:pStyle w:val="20"/>
              <w:tabs>
                <w:tab w:val="left" w:pos="567"/>
                <w:tab w:val="clear" w:pos="4153"/>
                <w:tab w:val="clear" w:pos="8306"/>
              </w:tabs>
              <w:contextualSpacing/>
              <w:rPr>
                <w:rFonts w:ascii="Arial" w:hAnsi="Arial" w:eastAsia="Calibri" w:cs="Arial"/>
                <w:sz w:val="20"/>
                <w:lang w:val="en-GB"/>
              </w:rPr>
            </w:pPr>
          </w:p>
        </w:tc>
        <w:tc>
          <w:tcPr>
            <w:tcW w:w="2296" w:type="dxa"/>
            <w:tcBorders>
              <w:top w:val="single" w:color="auto" w:sz="4" w:space="0"/>
              <w:left w:val="single" w:color="auto" w:sz="4" w:space="0"/>
              <w:bottom w:val="single" w:color="auto" w:sz="4" w:space="0"/>
              <w:right w:val="single" w:color="auto" w:sz="4" w:space="0"/>
            </w:tcBorders>
          </w:tcPr>
          <w:p>
            <w:pPr>
              <w:pStyle w:val="20"/>
              <w:tabs>
                <w:tab w:val="left" w:pos="567"/>
                <w:tab w:val="clear" w:pos="4153"/>
                <w:tab w:val="clear" w:pos="8306"/>
              </w:tabs>
              <w:contextualSpacing/>
              <w:rPr>
                <w:rFonts w:ascii="Arial" w:hAnsi="Arial" w:eastAsia="Calibri" w:cs="Arial"/>
                <w:sz w:val="20"/>
                <w:lang w:val="en-GB"/>
              </w:rPr>
            </w:pPr>
          </w:p>
        </w:tc>
        <w:tc>
          <w:tcPr>
            <w:tcW w:w="2296" w:type="dxa"/>
            <w:tcBorders>
              <w:top w:val="single" w:color="auto" w:sz="4" w:space="0"/>
              <w:left w:val="single" w:color="auto" w:sz="4" w:space="0"/>
              <w:bottom w:val="single" w:color="auto" w:sz="4" w:space="0"/>
              <w:right w:val="single" w:color="auto" w:sz="4" w:space="0"/>
            </w:tcBorders>
          </w:tcPr>
          <w:p>
            <w:pPr>
              <w:pStyle w:val="20"/>
              <w:tabs>
                <w:tab w:val="left" w:pos="567"/>
                <w:tab w:val="clear" w:pos="4153"/>
                <w:tab w:val="clear" w:pos="8306"/>
              </w:tabs>
              <w:contextualSpacing/>
              <w:rPr>
                <w:rFonts w:ascii="Arial" w:hAnsi="Arial" w:eastAsia="Calibri" w:cs="Arial"/>
                <w:sz w:val="20"/>
                <w:lang w:val="en-GB"/>
              </w:rPr>
            </w:pPr>
          </w:p>
        </w:tc>
        <w:tc>
          <w:tcPr>
            <w:tcW w:w="2296" w:type="dxa"/>
            <w:tcBorders>
              <w:top w:val="single" w:color="auto" w:sz="4" w:space="0"/>
              <w:left w:val="single" w:color="auto" w:sz="4" w:space="0"/>
              <w:bottom w:val="single" w:color="auto" w:sz="4" w:space="0"/>
              <w:right w:val="single" w:color="auto" w:sz="4" w:space="0"/>
            </w:tcBorders>
          </w:tcPr>
          <w:p>
            <w:pPr>
              <w:pStyle w:val="20"/>
              <w:tabs>
                <w:tab w:val="left" w:pos="567"/>
                <w:tab w:val="clear" w:pos="4153"/>
                <w:tab w:val="clear" w:pos="8306"/>
              </w:tabs>
              <w:contextualSpacing/>
              <w:rPr>
                <w:rFonts w:ascii="Arial" w:hAnsi="Arial" w:eastAsia="Calibri" w:cs="Arial"/>
                <w:sz w:val="20"/>
                <w:lang w:val="en-GB"/>
              </w:rPr>
            </w:pPr>
          </w:p>
        </w:tc>
      </w:tr>
    </w:tbl>
    <w:p>
      <w:pPr>
        <w:rPr>
          <w:rFonts w:ascii="Arial" w:hAnsi="Arial" w:cs="Arial"/>
          <w:sz w:val="20"/>
          <w:szCs w:val="20"/>
        </w:rPr>
      </w:pPr>
    </w:p>
    <w:p>
      <w:pPr>
        <w:jc w:val="center"/>
        <w:rPr>
          <w:rFonts w:ascii="Arial" w:hAnsi="Arial" w:cs="Arial"/>
          <w:b/>
          <w:sz w:val="20"/>
          <w:szCs w:val="20"/>
        </w:rPr>
      </w:pPr>
      <w:r>
        <w:rPr>
          <w:rFonts w:ascii="Arial" w:hAnsi="Arial" w:cs="Arial"/>
          <w:b/>
          <w:sz w:val="20"/>
          <w:szCs w:val="20"/>
        </w:rPr>
        <w:t>AND</w:t>
      </w:r>
    </w:p>
    <w:p>
      <w:pPr>
        <w:jc w:val="center"/>
        <w:rPr>
          <w:rFonts w:ascii="Arial" w:hAnsi="Arial" w:cs="Arial"/>
          <w:b/>
          <w:sz w:val="20"/>
          <w:szCs w:val="20"/>
        </w:rPr>
      </w:pPr>
    </w:p>
    <w:p>
      <w:pPr>
        <w:jc w:val="center"/>
        <w:rPr>
          <w:rFonts w:ascii="Arial" w:hAnsi="Arial" w:cs="Arial"/>
          <w:b/>
          <w:sz w:val="20"/>
          <w:szCs w:val="20"/>
        </w:rPr>
      </w:pPr>
      <w:r>
        <w:rPr>
          <w:rFonts w:ascii="Arial" w:hAnsi="Arial" w:cs="Arial"/>
          <w:b/>
          <w:sz w:val="20"/>
          <w:szCs w:val="20"/>
        </w:rPr>
        <w:t>QUEEN’S UNIVERSITY BELFAST</w:t>
      </w:r>
    </w:p>
    <w:p>
      <w:pPr>
        <w:jc w:val="center"/>
        <w:rPr>
          <w:rFonts w:ascii="Arial" w:hAnsi="Arial" w:cs="Arial"/>
          <w:b/>
          <w:sz w:val="20"/>
          <w:szCs w:val="20"/>
        </w:rPr>
      </w:pPr>
      <w:r>
        <w:rPr>
          <w:rFonts w:ascii="Arial" w:hAnsi="Arial" w:cs="Arial"/>
          <w:b/>
          <w:sz w:val="20"/>
          <w:szCs w:val="20"/>
        </w:rPr>
        <w:t>CENTRE FOR MEDICAL EDUCATION</w:t>
      </w:r>
    </w:p>
    <w:p>
      <w:pPr>
        <w:rPr>
          <w:rFonts w:ascii="Arial" w:hAnsi="Arial" w:cs="Arial"/>
          <w:sz w:val="20"/>
          <w:szCs w:val="20"/>
        </w:rPr>
      </w:pPr>
    </w:p>
    <w:tbl>
      <w:tblPr>
        <w:tblStyle w:val="29"/>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4"/>
        <w:gridCol w:w="2989"/>
        <w:gridCol w:w="851"/>
        <w:gridCol w:w="3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684" w:type="dxa"/>
            <w:tcBorders>
              <w:top w:val="single" w:color="auto" w:sz="4" w:space="0"/>
              <w:left w:val="single" w:color="auto" w:sz="4" w:space="0"/>
              <w:bottom w:val="single" w:color="auto" w:sz="4" w:space="0"/>
              <w:right w:val="single" w:color="auto" w:sz="4" w:space="0"/>
            </w:tcBorders>
          </w:tcPr>
          <w:p>
            <w:pPr>
              <w:pStyle w:val="20"/>
              <w:tabs>
                <w:tab w:val="left" w:pos="567"/>
                <w:tab w:val="clear" w:pos="4153"/>
                <w:tab w:val="clear" w:pos="8306"/>
              </w:tabs>
              <w:contextualSpacing/>
              <w:rPr>
                <w:rFonts w:ascii="Arial" w:hAnsi="Arial" w:eastAsia="Calibri" w:cs="Arial"/>
                <w:sz w:val="20"/>
                <w:lang w:val="en-GB"/>
              </w:rPr>
            </w:pPr>
            <w:r>
              <w:rPr>
                <w:rFonts w:ascii="Arial" w:hAnsi="Arial" w:eastAsia="Calibri" w:cs="Arial"/>
                <w:sz w:val="20"/>
                <w:lang w:val="en-GB"/>
              </w:rPr>
              <w:t>Signature:</w:t>
            </w:r>
          </w:p>
          <w:p>
            <w:pPr>
              <w:pStyle w:val="20"/>
              <w:tabs>
                <w:tab w:val="left" w:pos="567"/>
                <w:tab w:val="clear" w:pos="4153"/>
                <w:tab w:val="clear" w:pos="8306"/>
              </w:tabs>
              <w:contextualSpacing/>
              <w:rPr>
                <w:rFonts w:ascii="Arial" w:hAnsi="Arial" w:eastAsia="Calibri" w:cs="Arial"/>
                <w:sz w:val="20"/>
                <w:lang w:val="en-GB"/>
              </w:rPr>
            </w:pPr>
          </w:p>
        </w:tc>
        <w:tc>
          <w:tcPr>
            <w:tcW w:w="2989" w:type="dxa"/>
            <w:tcBorders>
              <w:top w:val="single" w:color="auto" w:sz="4" w:space="0"/>
              <w:left w:val="single" w:color="auto" w:sz="4" w:space="0"/>
              <w:bottom w:val="single" w:color="auto" w:sz="4" w:space="0"/>
              <w:right w:val="single" w:color="auto" w:sz="4" w:space="0"/>
            </w:tcBorders>
          </w:tcPr>
          <w:p>
            <w:pPr>
              <w:pStyle w:val="20"/>
              <w:tabs>
                <w:tab w:val="left" w:pos="567"/>
                <w:tab w:val="clear" w:pos="4153"/>
                <w:tab w:val="clear" w:pos="8306"/>
              </w:tabs>
              <w:contextualSpacing/>
              <w:rPr>
                <w:rFonts w:ascii="Arial" w:hAnsi="Arial" w:eastAsia="Calibri" w:cs="Arial"/>
                <w:sz w:val="20"/>
                <w:lang w:val="en-GB"/>
              </w:rPr>
            </w:pPr>
            <w:r>
              <w:rPr>
                <w:rFonts w:ascii="Arial" w:hAnsi="Arial" w:eastAsia="Calibri" w:cs="Arial"/>
                <w:sz w:val="20"/>
                <w:lang w:val="en-GB" w:eastAsia="en-GB"/>
              </w:rPr>
              <w:drawing>
                <wp:inline distT="0" distB="0" distL="0" distR="0">
                  <wp:extent cx="1457325" cy="5118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464164" cy="514316"/>
                          </a:xfrm>
                          <a:prstGeom prst="rect">
                            <a:avLst/>
                          </a:prstGeom>
                          <a:noFill/>
                        </pic:spPr>
                      </pic:pic>
                    </a:graphicData>
                  </a:graphic>
                </wp:inline>
              </w:drawing>
            </w:r>
          </w:p>
        </w:tc>
        <w:tc>
          <w:tcPr>
            <w:tcW w:w="851" w:type="dxa"/>
            <w:tcBorders>
              <w:top w:val="single" w:color="auto" w:sz="4" w:space="0"/>
              <w:left w:val="single" w:color="auto" w:sz="4" w:space="0"/>
              <w:bottom w:val="single" w:color="auto" w:sz="4" w:space="0"/>
              <w:right w:val="single" w:color="auto" w:sz="4" w:space="0"/>
            </w:tcBorders>
          </w:tcPr>
          <w:p>
            <w:pPr>
              <w:pStyle w:val="20"/>
              <w:tabs>
                <w:tab w:val="left" w:pos="567"/>
                <w:tab w:val="clear" w:pos="4153"/>
                <w:tab w:val="clear" w:pos="8306"/>
              </w:tabs>
              <w:contextualSpacing/>
              <w:rPr>
                <w:rFonts w:ascii="Arial" w:hAnsi="Arial" w:eastAsia="Calibri" w:cs="Arial"/>
                <w:sz w:val="20"/>
                <w:lang w:val="en-GB"/>
              </w:rPr>
            </w:pPr>
            <w:r>
              <w:rPr>
                <w:rFonts w:ascii="Arial" w:hAnsi="Arial" w:eastAsia="Calibri" w:cs="Arial"/>
                <w:sz w:val="20"/>
                <w:lang w:val="en-GB"/>
              </w:rPr>
              <w:t>Date:</w:t>
            </w:r>
          </w:p>
        </w:tc>
        <w:tc>
          <w:tcPr>
            <w:tcW w:w="3685" w:type="dxa"/>
            <w:tcBorders>
              <w:top w:val="single" w:color="auto" w:sz="4" w:space="0"/>
              <w:left w:val="single" w:color="auto" w:sz="4" w:space="0"/>
              <w:bottom w:val="single" w:color="auto" w:sz="4" w:space="0"/>
              <w:right w:val="single" w:color="auto" w:sz="4" w:space="0"/>
            </w:tcBorders>
          </w:tcPr>
          <w:p>
            <w:pPr>
              <w:pStyle w:val="20"/>
              <w:tabs>
                <w:tab w:val="left" w:pos="567"/>
                <w:tab w:val="clear" w:pos="4153"/>
                <w:tab w:val="clear" w:pos="8306"/>
              </w:tabs>
              <w:contextualSpacing/>
              <w:rPr>
                <w:rFonts w:ascii="Arial" w:hAnsi="Arial" w:eastAsia="Calibri" w:cs="Arial"/>
                <w:sz w:val="20"/>
                <w:lang w:val="en-GB"/>
              </w:rPr>
            </w:pPr>
            <w:r>
              <w:rPr>
                <w:rFonts w:ascii="Arial" w:hAnsi="Arial" w:eastAsia="Calibri" w:cs="Arial"/>
                <w:sz w:val="20"/>
                <w:lang w:val="en-GB"/>
              </w:rPr>
              <w:t>16 September 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684" w:type="dxa"/>
            <w:tcBorders>
              <w:top w:val="single" w:color="auto" w:sz="4" w:space="0"/>
              <w:left w:val="single" w:color="auto" w:sz="4" w:space="0"/>
              <w:bottom w:val="single" w:color="auto" w:sz="4" w:space="0"/>
              <w:right w:val="single" w:color="auto" w:sz="4" w:space="0"/>
            </w:tcBorders>
          </w:tcPr>
          <w:p>
            <w:pPr>
              <w:rPr>
                <w:rFonts w:ascii="Arial" w:hAnsi="Arial" w:eastAsia="Calibri" w:cs="Arial"/>
                <w:sz w:val="20"/>
                <w:szCs w:val="20"/>
                <w:lang w:val="en-GB"/>
              </w:rPr>
            </w:pPr>
            <w:r>
              <w:rPr>
                <w:rFonts w:ascii="Arial" w:hAnsi="Arial" w:eastAsia="Calibri" w:cs="Arial"/>
                <w:sz w:val="20"/>
                <w:szCs w:val="20"/>
              </w:rPr>
              <w:t xml:space="preserve">Print Name: </w:t>
            </w:r>
          </w:p>
        </w:tc>
        <w:tc>
          <w:tcPr>
            <w:tcW w:w="2989" w:type="dxa"/>
            <w:tcBorders>
              <w:top w:val="single" w:color="auto" w:sz="4" w:space="0"/>
              <w:left w:val="single" w:color="auto" w:sz="4" w:space="0"/>
              <w:bottom w:val="single" w:color="auto" w:sz="4" w:space="0"/>
              <w:right w:val="single" w:color="auto" w:sz="4" w:space="0"/>
            </w:tcBorders>
          </w:tcPr>
          <w:p>
            <w:pPr>
              <w:rPr>
                <w:rFonts w:ascii="Arial" w:hAnsi="Arial" w:eastAsia="Calibri" w:cs="Arial"/>
                <w:sz w:val="20"/>
                <w:szCs w:val="20"/>
                <w:lang w:val="en-GB"/>
              </w:rPr>
            </w:pPr>
            <w:r>
              <w:rPr>
                <w:rFonts w:ascii="Arial" w:hAnsi="Arial" w:eastAsia="Calibri" w:cs="Arial"/>
                <w:sz w:val="20"/>
                <w:lang w:val="en-GB"/>
              </w:rPr>
              <w:t>Neil Kennedy</w:t>
            </w:r>
          </w:p>
          <w:p>
            <w:pPr>
              <w:rPr>
                <w:rFonts w:ascii="Arial" w:hAnsi="Arial" w:eastAsia="Calibri" w:cs="Arial"/>
                <w:sz w:val="20"/>
                <w:szCs w:val="20"/>
                <w:lang w:val="en-GB"/>
              </w:rPr>
            </w:pPr>
          </w:p>
        </w:tc>
        <w:tc>
          <w:tcPr>
            <w:tcW w:w="4536" w:type="dxa"/>
            <w:gridSpan w:val="2"/>
            <w:tcBorders>
              <w:top w:val="nil"/>
              <w:left w:val="single" w:color="auto" w:sz="4" w:space="0"/>
              <w:bottom w:val="nil"/>
              <w:right w:val="nil"/>
            </w:tcBorders>
          </w:tcPr>
          <w:p>
            <w:pPr>
              <w:pStyle w:val="20"/>
              <w:tabs>
                <w:tab w:val="left" w:pos="567"/>
                <w:tab w:val="clear" w:pos="4153"/>
                <w:tab w:val="clear" w:pos="8306"/>
              </w:tabs>
              <w:contextualSpacing/>
              <w:rPr>
                <w:rFonts w:ascii="Arial" w:hAnsi="Arial" w:eastAsia="Calibri" w:cs="Arial"/>
                <w:sz w:val="20"/>
                <w:lang w:val="en-GB"/>
              </w:rPr>
            </w:pPr>
          </w:p>
        </w:tc>
      </w:tr>
    </w:tbl>
    <w:p>
      <w:pPr>
        <w:contextualSpacing/>
        <w:rPr>
          <w:rFonts w:ascii="Arial" w:hAnsi="Arial" w:cs="Arial"/>
          <w:b/>
          <w:sz w:val="20"/>
          <w:szCs w:val="20"/>
          <w:lang w:val="en-GB"/>
        </w:rPr>
      </w:pPr>
      <w:r>
        <w:rPr>
          <w:rFonts w:ascii="Arial" w:hAnsi="Arial" w:cs="Arial"/>
          <w:b/>
          <w:sz w:val="20"/>
          <w:szCs w:val="20"/>
          <w:lang w:val="en-GB"/>
        </w:rPr>
        <w:br w:type="page"/>
      </w:r>
    </w:p>
    <w:p>
      <w:pPr>
        <w:pStyle w:val="38"/>
        <w:numPr>
          <w:ilvl w:val="0"/>
          <w:numId w:val="2"/>
        </w:numPr>
        <w:jc w:val="both"/>
        <w:rPr>
          <w:rFonts w:ascii="Arial" w:hAnsi="Arial" w:cs="Arial"/>
          <w:sz w:val="20"/>
          <w:szCs w:val="20"/>
          <w:lang w:val="en-GB"/>
        </w:rPr>
      </w:pPr>
      <w:r>
        <w:rPr>
          <w:rFonts w:ascii="Arial" w:hAnsi="Arial" w:cs="Arial"/>
          <w:b/>
          <w:sz w:val="20"/>
          <w:szCs w:val="20"/>
          <w:lang w:val="en-GB"/>
        </w:rPr>
        <w:t>Group Served</w:t>
      </w:r>
    </w:p>
    <w:p>
      <w:pPr>
        <w:contextualSpacing/>
        <w:jc w:val="both"/>
        <w:rPr>
          <w:rFonts w:ascii="Arial" w:hAnsi="Arial" w:cs="Arial"/>
          <w:sz w:val="20"/>
          <w:szCs w:val="20"/>
          <w:lang w:val="en-GB"/>
        </w:rPr>
      </w:pPr>
    </w:p>
    <w:p>
      <w:pPr>
        <w:pStyle w:val="38"/>
        <w:numPr>
          <w:ilvl w:val="1"/>
          <w:numId w:val="2"/>
        </w:numPr>
        <w:ind w:left="851" w:hanging="567"/>
        <w:jc w:val="both"/>
        <w:rPr>
          <w:rFonts w:ascii="Arial" w:hAnsi="Arial" w:cs="Arial"/>
          <w:sz w:val="20"/>
          <w:szCs w:val="20"/>
          <w:lang w:val="en-GB"/>
        </w:rPr>
      </w:pPr>
      <w:r>
        <w:rPr>
          <w:rFonts w:ascii="Arial" w:hAnsi="Arial" w:cs="Arial"/>
          <w:sz w:val="20"/>
          <w:szCs w:val="20"/>
          <w:lang w:val="en-GB"/>
        </w:rPr>
        <w:t>Medical undergraduates (the students) placed for training by the Centre for Medical Education.</w:t>
      </w:r>
    </w:p>
    <w:p>
      <w:pPr>
        <w:contextualSpacing/>
        <w:jc w:val="both"/>
        <w:rPr>
          <w:rFonts w:ascii="Arial" w:hAnsi="Arial" w:cs="Arial"/>
          <w:sz w:val="20"/>
          <w:szCs w:val="20"/>
          <w:lang w:val="en-GB"/>
        </w:rPr>
      </w:pPr>
    </w:p>
    <w:p>
      <w:pPr>
        <w:contextualSpacing/>
        <w:jc w:val="both"/>
        <w:rPr>
          <w:rFonts w:ascii="Arial" w:hAnsi="Arial" w:cs="Arial"/>
          <w:sz w:val="20"/>
          <w:szCs w:val="20"/>
          <w:lang w:val="en-GB"/>
        </w:rPr>
      </w:pPr>
    </w:p>
    <w:p>
      <w:pPr>
        <w:pStyle w:val="38"/>
        <w:numPr>
          <w:ilvl w:val="0"/>
          <w:numId w:val="2"/>
        </w:numPr>
        <w:jc w:val="both"/>
        <w:outlineLvl w:val="0"/>
        <w:rPr>
          <w:rFonts w:ascii="Arial" w:hAnsi="Arial" w:cs="Arial"/>
          <w:b/>
          <w:sz w:val="20"/>
          <w:szCs w:val="20"/>
          <w:lang w:val="en-GB"/>
        </w:rPr>
      </w:pPr>
      <w:r>
        <w:rPr>
          <w:rFonts w:ascii="Arial" w:hAnsi="Arial" w:cs="Arial"/>
          <w:b/>
          <w:sz w:val="20"/>
          <w:szCs w:val="20"/>
          <w:lang w:val="en-GB"/>
        </w:rPr>
        <w:t xml:space="preserve">Practice Obligations  </w:t>
      </w:r>
    </w:p>
    <w:p>
      <w:pPr>
        <w:contextualSpacing/>
        <w:jc w:val="both"/>
        <w:rPr>
          <w:rFonts w:ascii="Arial" w:hAnsi="Arial" w:cs="Arial"/>
          <w:sz w:val="20"/>
          <w:szCs w:val="20"/>
          <w:lang w:val="en-GB"/>
        </w:rPr>
      </w:pPr>
    </w:p>
    <w:p>
      <w:pPr>
        <w:jc w:val="both"/>
        <w:rPr>
          <w:rFonts w:ascii="Arial" w:hAnsi="Arial" w:cs="Arial"/>
          <w:sz w:val="20"/>
          <w:szCs w:val="20"/>
          <w:lang w:val="en-GB"/>
        </w:rPr>
      </w:pPr>
      <w:r>
        <w:rPr>
          <w:rFonts w:ascii="Arial" w:hAnsi="Arial" w:cs="Arial"/>
          <w:sz w:val="20"/>
          <w:szCs w:val="20"/>
          <w:lang w:val="en-GB"/>
        </w:rPr>
        <w:t>The Practice staff agree to:</w:t>
      </w:r>
    </w:p>
    <w:p>
      <w:pPr>
        <w:contextualSpacing/>
        <w:jc w:val="both"/>
        <w:rPr>
          <w:rFonts w:ascii="Arial" w:hAnsi="Arial" w:cs="Arial"/>
          <w:sz w:val="20"/>
          <w:szCs w:val="20"/>
          <w:lang w:val="en-GB"/>
        </w:rPr>
      </w:pPr>
    </w:p>
    <w:p>
      <w:pPr>
        <w:pStyle w:val="14"/>
        <w:numPr>
          <w:ilvl w:val="1"/>
          <w:numId w:val="2"/>
        </w:numPr>
        <w:ind w:left="851" w:hanging="567"/>
        <w:contextualSpacing/>
        <w:jc w:val="both"/>
        <w:rPr>
          <w:sz w:val="20"/>
        </w:rPr>
      </w:pPr>
      <w:r>
        <w:rPr>
          <w:sz w:val="20"/>
        </w:rPr>
        <w:t>Teach students according to the appropriate Study Guide (Appendix 1) and within the spirit of the Good Teaching Practice Guidelines (Appendix 2) in consideration of payments made (Appendix 4).</w:t>
      </w:r>
    </w:p>
    <w:p>
      <w:pPr>
        <w:pStyle w:val="14"/>
        <w:ind w:left="851" w:hanging="567"/>
        <w:contextualSpacing/>
        <w:jc w:val="both"/>
        <w:rPr>
          <w:sz w:val="20"/>
        </w:rPr>
      </w:pPr>
    </w:p>
    <w:p>
      <w:pPr>
        <w:pStyle w:val="38"/>
        <w:numPr>
          <w:ilvl w:val="1"/>
          <w:numId w:val="2"/>
        </w:numPr>
        <w:ind w:left="851" w:hanging="567"/>
        <w:jc w:val="both"/>
        <w:rPr>
          <w:rFonts w:ascii="Arial" w:hAnsi="Arial" w:cs="Arial"/>
          <w:sz w:val="20"/>
          <w:szCs w:val="20"/>
          <w:lang w:val="en-GB"/>
        </w:rPr>
      </w:pPr>
      <w:r>
        <w:rPr>
          <w:rFonts w:ascii="Arial" w:hAnsi="Arial" w:cs="Arial"/>
          <w:sz w:val="20"/>
          <w:szCs w:val="20"/>
          <w:lang w:val="en-GB"/>
        </w:rPr>
        <w:t>Provide adequate, maintained teaching space; access to suitable ICT; basic equipment required for clinical work; safe storage for students' belongings; a typical case mix of patients.</w:t>
      </w:r>
    </w:p>
    <w:p>
      <w:pPr>
        <w:ind w:left="851" w:hanging="567"/>
        <w:contextualSpacing/>
        <w:jc w:val="both"/>
        <w:rPr>
          <w:rFonts w:ascii="Arial" w:hAnsi="Arial" w:cs="Arial"/>
          <w:sz w:val="20"/>
          <w:szCs w:val="20"/>
          <w:lang w:val="en-GB"/>
        </w:rPr>
      </w:pPr>
    </w:p>
    <w:p>
      <w:pPr>
        <w:pStyle w:val="38"/>
        <w:numPr>
          <w:ilvl w:val="1"/>
          <w:numId w:val="2"/>
        </w:numPr>
        <w:ind w:left="851" w:hanging="567"/>
        <w:jc w:val="both"/>
        <w:rPr>
          <w:rFonts w:ascii="Arial" w:hAnsi="Arial" w:cs="Arial"/>
          <w:sz w:val="20"/>
          <w:szCs w:val="20"/>
          <w:lang w:val="en-GB"/>
        </w:rPr>
      </w:pPr>
      <w:r>
        <w:rPr>
          <w:rFonts w:ascii="Arial" w:hAnsi="Arial" w:cs="Arial"/>
          <w:sz w:val="20"/>
          <w:szCs w:val="20"/>
          <w:lang w:val="en-GB"/>
        </w:rPr>
        <w:t>Nominate a suitably qualified and experienced doctor with overall responsibility for teaching students (The Responsible Tutor).  This individual should complete any training for teaching and assessment required by the Centre for Medical Education.</w:t>
      </w:r>
    </w:p>
    <w:p>
      <w:pPr>
        <w:ind w:left="851" w:hanging="567"/>
        <w:contextualSpacing/>
        <w:jc w:val="both"/>
        <w:rPr>
          <w:rFonts w:ascii="Arial" w:hAnsi="Arial" w:cs="Arial"/>
          <w:sz w:val="20"/>
          <w:szCs w:val="20"/>
          <w:lang w:val="en-GB"/>
        </w:rPr>
      </w:pPr>
    </w:p>
    <w:p>
      <w:pPr>
        <w:pStyle w:val="38"/>
        <w:numPr>
          <w:ilvl w:val="1"/>
          <w:numId w:val="2"/>
        </w:numPr>
        <w:ind w:left="851" w:hanging="567"/>
        <w:jc w:val="both"/>
        <w:rPr>
          <w:rFonts w:ascii="Arial" w:hAnsi="Arial" w:cs="Arial"/>
          <w:sz w:val="20"/>
          <w:szCs w:val="20"/>
          <w:lang w:val="en-GB"/>
        </w:rPr>
      </w:pPr>
      <w:r>
        <w:rPr>
          <w:rFonts w:ascii="Arial" w:hAnsi="Arial" w:cs="Arial"/>
          <w:sz w:val="20"/>
          <w:szCs w:val="20"/>
          <w:lang w:val="en-GB"/>
        </w:rPr>
        <w:t>Ensure that all staff welcome students and, in principle, support the training of students by the Practice.</w:t>
      </w:r>
    </w:p>
    <w:p>
      <w:pPr>
        <w:ind w:left="851" w:hanging="567"/>
        <w:contextualSpacing/>
        <w:jc w:val="both"/>
        <w:rPr>
          <w:rFonts w:ascii="Arial" w:hAnsi="Arial" w:cs="Arial"/>
          <w:sz w:val="20"/>
          <w:szCs w:val="20"/>
          <w:lang w:val="en-GB"/>
        </w:rPr>
      </w:pPr>
    </w:p>
    <w:p>
      <w:pPr>
        <w:pStyle w:val="38"/>
        <w:numPr>
          <w:ilvl w:val="1"/>
          <w:numId w:val="2"/>
        </w:numPr>
        <w:ind w:left="851" w:hanging="567"/>
        <w:jc w:val="both"/>
        <w:rPr>
          <w:rFonts w:ascii="Arial" w:hAnsi="Arial" w:cs="Arial"/>
          <w:sz w:val="20"/>
          <w:szCs w:val="20"/>
          <w:lang w:val="en-GB"/>
        </w:rPr>
      </w:pPr>
      <w:r>
        <w:rPr>
          <w:rFonts w:ascii="Arial" w:hAnsi="Arial" w:cs="Arial"/>
          <w:sz w:val="20"/>
          <w:szCs w:val="20"/>
          <w:lang w:val="en-GB"/>
        </w:rPr>
        <w:t>Cooperate with quality management measures and monitoring arrangements as defined by the Centre for Medical Education.  Typically these include the use of student evaluation questionnaires, attendance at meetings organised by the Centre for Medical Education and possibly visits to Practices by Centre for Medical Education staff.</w:t>
      </w:r>
    </w:p>
    <w:p>
      <w:pPr>
        <w:ind w:left="851" w:hanging="567"/>
        <w:contextualSpacing/>
        <w:jc w:val="both"/>
        <w:rPr>
          <w:rFonts w:ascii="Arial" w:hAnsi="Arial" w:cs="Arial"/>
          <w:sz w:val="20"/>
          <w:szCs w:val="20"/>
          <w:lang w:val="en-GB"/>
        </w:rPr>
      </w:pPr>
    </w:p>
    <w:p>
      <w:pPr>
        <w:pStyle w:val="38"/>
        <w:numPr>
          <w:ilvl w:val="1"/>
          <w:numId w:val="2"/>
        </w:numPr>
        <w:ind w:left="851" w:hanging="567"/>
        <w:jc w:val="both"/>
        <w:rPr>
          <w:rFonts w:ascii="Arial" w:hAnsi="Arial" w:cs="Arial"/>
          <w:sz w:val="20"/>
          <w:szCs w:val="20"/>
          <w:lang w:val="en-GB"/>
        </w:rPr>
      </w:pPr>
      <w:r>
        <w:rPr>
          <w:rFonts w:ascii="Arial" w:hAnsi="Arial" w:cs="Arial"/>
          <w:sz w:val="20"/>
          <w:szCs w:val="20"/>
          <w:lang w:val="en-GB"/>
        </w:rPr>
        <w:t>Have in place insurance arrangements deemed suitable by the Practice insurer (in accordance with the recommendations in Appendix 3).</w:t>
      </w:r>
    </w:p>
    <w:p>
      <w:pPr>
        <w:ind w:left="851" w:hanging="567"/>
        <w:contextualSpacing/>
        <w:jc w:val="both"/>
        <w:rPr>
          <w:rFonts w:ascii="Arial" w:hAnsi="Arial" w:cs="Arial"/>
          <w:sz w:val="20"/>
          <w:szCs w:val="20"/>
          <w:lang w:val="en-GB"/>
        </w:rPr>
      </w:pPr>
    </w:p>
    <w:p>
      <w:pPr>
        <w:pStyle w:val="38"/>
        <w:numPr>
          <w:ilvl w:val="1"/>
          <w:numId w:val="2"/>
        </w:numPr>
        <w:ind w:left="851" w:hanging="567"/>
        <w:jc w:val="both"/>
        <w:rPr>
          <w:rFonts w:ascii="Arial" w:hAnsi="Arial" w:cs="Arial"/>
          <w:sz w:val="20"/>
          <w:szCs w:val="20"/>
          <w:lang w:val="en-GB"/>
        </w:rPr>
      </w:pPr>
      <w:r>
        <w:rPr>
          <w:rFonts w:ascii="Arial" w:hAnsi="Arial" w:cs="Arial"/>
          <w:sz w:val="20"/>
          <w:szCs w:val="20"/>
          <w:lang w:val="en-GB"/>
        </w:rPr>
        <w:t>Make patients aware that students receive training at the Practice.  Patients must be assured that they will only see students with their consent, and will not be disadvantaged by refusing to have medical students involved in their care.</w:t>
      </w:r>
    </w:p>
    <w:p>
      <w:pPr>
        <w:ind w:left="851" w:hanging="567"/>
        <w:contextualSpacing/>
        <w:jc w:val="both"/>
        <w:rPr>
          <w:rFonts w:ascii="Arial" w:hAnsi="Arial" w:cs="Arial"/>
          <w:sz w:val="20"/>
          <w:szCs w:val="20"/>
          <w:lang w:val="en-GB"/>
        </w:rPr>
      </w:pPr>
    </w:p>
    <w:p>
      <w:pPr>
        <w:pStyle w:val="20"/>
        <w:numPr>
          <w:ilvl w:val="1"/>
          <w:numId w:val="2"/>
        </w:numPr>
        <w:tabs>
          <w:tab w:val="clear" w:pos="4153"/>
          <w:tab w:val="clear" w:pos="8306"/>
        </w:tabs>
        <w:ind w:left="851" w:hanging="567"/>
        <w:contextualSpacing/>
        <w:jc w:val="both"/>
        <w:rPr>
          <w:rFonts w:ascii="Arial" w:hAnsi="Arial" w:cs="Arial"/>
          <w:sz w:val="20"/>
          <w:lang w:val="en-GB"/>
        </w:rPr>
      </w:pPr>
      <w:r>
        <w:rPr>
          <w:rFonts w:ascii="Arial" w:hAnsi="Arial" w:cs="Arial"/>
          <w:sz w:val="20"/>
          <w:lang w:val="en-GB"/>
        </w:rPr>
        <w:t>Continually seek to improve their knowledge base by reading current literature, and, where appropriate, being involved in research, thus facilitating high quality teaching.</w:t>
      </w:r>
    </w:p>
    <w:p>
      <w:pPr>
        <w:pStyle w:val="20"/>
        <w:tabs>
          <w:tab w:val="clear" w:pos="4153"/>
          <w:tab w:val="clear" w:pos="8306"/>
        </w:tabs>
        <w:ind w:left="851" w:hanging="567"/>
        <w:contextualSpacing/>
        <w:jc w:val="both"/>
        <w:rPr>
          <w:rFonts w:ascii="Arial" w:hAnsi="Arial" w:cs="Arial"/>
          <w:sz w:val="20"/>
          <w:lang w:val="en-GB"/>
        </w:rPr>
      </w:pPr>
    </w:p>
    <w:p>
      <w:pPr>
        <w:pStyle w:val="38"/>
        <w:numPr>
          <w:ilvl w:val="1"/>
          <w:numId w:val="2"/>
        </w:numPr>
        <w:ind w:left="851" w:hanging="567"/>
        <w:jc w:val="both"/>
        <w:rPr>
          <w:rFonts w:ascii="Arial" w:hAnsi="Arial" w:cs="Arial"/>
          <w:sz w:val="20"/>
          <w:szCs w:val="20"/>
          <w:lang w:val="en-GB"/>
        </w:rPr>
      </w:pPr>
      <w:r>
        <w:rPr>
          <w:rFonts w:ascii="Arial" w:hAnsi="Arial" w:cs="Arial"/>
          <w:sz w:val="20"/>
          <w:szCs w:val="20"/>
          <w:lang w:val="en-GB"/>
        </w:rPr>
        <w:t>Contribute to future developments of the teaching programme for undergraduate students.</w:t>
      </w:r>
    </w:p>
    <w:p>
      <w:pPr>
        <w:ind w:left="851" w:hanging="567"/>
        <w:contextualSpacing/>
        <w:jc w:val="both"/>
        <w:rPr>
          <w:rFonts w:ascii="Arial" w:hAnsi="Arial" w:cs="Arial"/>
          <w:sz w:val="20"/>
          <w:szCs w:val="20"/>
          <w:lang w:val="en-GB"/>
        </w:rPr>
      </w:pPr>
    </w:p>
    <w:p>
      <w:pPr>
        <w:pStyle w:val="38"/>
        <w:numPr>
          <w:ilvl w:val="1"/>
          <w:numId w:val="2"/>
        </w:numPr>
        <w:ind w:left="851" w:hanging="567"/>
        <w:jc w:val="both"/>
        <w:rPr>
          <w:rFonts w:ascii="Arial" w:hAnsi="Arial" w:cs="Arial"/>
          <w:sz w:val="20"/>
          <w:szCs w:val="20"/>
          <w:lang w:val="en-GB"/>
        </w:rPr>
      </w:pPr>
      <w:r>
        <w:rPr>
          <w:rFonts w:ascii="Arial" w:hAnsi="Arial" w:cs="Arial"/>
          <w:sz w:val="20"/>
          <w:szCs w:val="20"/>
          <w:lang w:val="en-GB"/>
        </w:rPr>
        <w:t>Use the Supplement for Undergraduate Medical and Dental Education (SUMDE) for the purpose for which it was intended i.e. in support of teaching medical undergraduates.</w:t>
      </w:r>
    </w:p>
    <w:p>
      <w:pPr>
        <w:ind w:left="851" w:hanging="567"/>
        <w:contextualSpacing/>
        <w:jc w:val="both"/>
        <w:rPr>
          <w:rFonts w:ascii="Arial" w:hAnsi="Arial" w:cs="Arial"/>
          <w:sz w:val="20"/>
          <w:szCs w:val="20"/>
          <w:lang w:val="en-GB"/>
        </w:rPr>
      </w:pPr>
    </w:p>
    <w:p>
      <w:pPr>
        <w:pStyle w:val="38"/>
        <w:numPr>
          <w:ilvl w:val="1"/>
          <w:numId w:val="2"/>
        </w:numPr>
        <w:ind w:left="851" w:hanging="567"/>
        <w:jc w:val="both"/>
        <w:rPr>
          <w:rFonts w:ascii="Arial" w:hAnsi="Arial" w:cs="Arial"/>
          <w:sz w:val="20"/>
          <w:szCs w:val="20"/>
          <w:lang w:val="en-GB"/>
        </w:rPr>
      </w:pPr>
      <w:r>
        <w:rPr>
          <w:rFonts w:ascii="Arial" w:hAnsi="Arial" w:cs="Arial"/>
          <w:sz w:val="20"/>
          <w:szCs w:val="20"/>
          <w:lang w:val="en-GB"/>
        </w:rPr>
        <w:t>Notify the Centre for Medical Education of absent or problem students as soon as possible.  The Practice may request a student to leave the Practice without notice, where that student's behaviour is considered unacceptable.  The Practice must notify the relevant Module Coordinator in the Centre for Medical Education immediately with details of the problem(s).</w:t>
      </w:r>
    </w:p>
    <w:p>
      <w:pPr>
        <w:ind w:left="851" w:hanging="567"/>
        <w:contextualSpacing/>
        <w:jc w:val="both"/>
        <w:rPr>
          <w:rFonts w:ascii="Arial" w:hAnsi="Arial" w:cs="Arial"/>
          <w:sz w:val="20"/>
          <w:szCs w:val="20"/>
          <w:lang w:val="en-GB"/>
        </w:rPr>
      </w:pPr>
    </w:p>
    <w:p>
      <w:pPr>
        <w:pStyle w:val="38"/>
        <w:numPr>
          <w:ilvl w:val="1"/>
          <w:numId w:val="2"/>
        </w:numPr>
        <w:ind w:left="851" w:hanging="567"/>
        <w:jc w:val="both"/>
        <w:rPr>
          <w:rFonts w:ascii="Arial" w:hAnsi="Arial" w:cs="Arial"/>
          <w:sz w:val="20"/>
          <w:szCs w:val="20"/>
          <w:lang w:val="en-GB"/>
        </w:rPr>
      </w:pPr>
      <w:r>
        <w:rPr>
          <w:rFonts w:ascii="Arial" w:hAnsi="Arial" w:cs="Arial"/>
          <w:sz w:val="20"/>
          <w:szCs w:val="20"/>
          <w:lang w:val="en-GB"/>
        </w:rPr>
        <w:t>Participate in preparatory, introductory and examination sessions organised by the Centre for Medical Education.</w:t>
      </w:r>
    </w:p>
    <w:p>
      <w:pPr>
        <w:ind w:left="851" w:hanging="567"/>
        <w:contextualSpacing/>
        <w:jc w:val="both"/>
        <w:rPr>
          <w:rFonts w:ascii="Arial" w:hAnsi="Arial" w:cs="Arial"/>
          <w:sz w:val="20"/>
          <w:szCs w:val="20"/>
          <w:lang w:val="en-GB"/>
        </w:rPr>
      </w:pPr>
    </w:p>
    <w:p>
      <w:pPr>
        <w:pStyle w:val="38"/>
        <w:numPr>
          <w:ilvl w:val="1"/>
          <w:numId w:val="2"/>
        </w:numPr>
        <w:ind w:left="851" w:hanging="567"/>
        <w:jc w:val="both"/>
        <w:rPr>
          <w:rFonts w:ascii="Arial" w:hAnsi="Arial" w:cs="Arial"/>
          <w:sz w:val="20"/>
          <w:szCs w:val="20"/>
          <w:lang w:val="en-GB"/>
        </w:rPr>
      </w:pPr>
      <w:r>
        <w:rPr>
          <w:rFonts w:ascii="Arial" w:hAnsi="Arial" w:cs="Arial"/>
          <w:sz w:val="20"/>
          <w:szCs w:val="20"/>
          <w:lang w:val="en-GB"/>
        </w:rPr>
        <w:t xml:space="preserve">Maintain well-organised and up-to-date patient records. </w:t>
      </w:r>
    </w:p>
    <w:p>
      <w:pPr>
        <w:ind w:left="851" w:hanging="567"/>
        <w:contextualSpacing/>
        <w:jc w:val="both"/>
        <w:rPr>
          <w:rFonts w:ascii="Arial" w:hAnsi="Arial" w:cs="Arial"/>
          <w:sz w:val="20"/>
          <w:szCs w:val="20"/>
          <w:lang w:val="en-GB"/>
        </w:rPr>
      </w:pPr>
    </w:p>
    <w:p>
      <w:pPr>
        <w:pStyle w:val="38"/>
        <w:numPr>
          <w:ilvl w:val="1"/>
          <w:numId w:val="2"/>
        </w:numPr>
        <w:ind w:left="851" w:hanging="567"/>
        <w:jc w:val="both"/>
        <w:rPr>
          <w:rFonts w:ascii="Arial" w:hAnsi="Arial" w:cs="Arial"/>
          <w:sz w:val="20"/>
          <w:szCs w:val="20"/>
          <w:lang w:val="en-GB"/>
        </w:rPr>
      </w:pPr>
      <w:r>
        <w:rPr>
          <w:rFonts w:ascii="Arial" w:hAnsi="Arial" w:cs="Arial"/>
          <w:sz w:val="20"/>
          <w:szCs w:val="20"/>
          <w:lang w:val="en-GB"/>
        </w:rPr>
        <w:t>Ensure that the students are made aware of the principle of respect for the dignity of patients and the confidentiality of medical and personal information.</w:t>
      </w:r>
    </w:p>
    <w:p>
      <w:pPr>
        <w:ind w:left="851" w:hanging="567"/>
        <w:contextualSpacing/>
        <w:jc w:val="both"/>
        <w:rPr>
          <w:rFonts w:ascii="Arial" w:hAnsi="Arial" w:cs="Arial"/>
          <w:sz w:val="20"/>
          <w:szCs w:val="20"/>
          <w:lang w:val="en-GB"/>
        </w:rPr>
      </w:pPr>
    </w:p>
    <w:p>
      <w:pPr>
        <w:pStyle w:val="38"/>
        <w:numPr>
          <w:ilvl w:val="1"/>
          <w:numId w:val="2"/>
        </w:numPr>
        <w:ind w:left="851" w:hanging="567"/>
        <w:jc w:val="both"/>
        <w:rPr>
          <w:rFonts w:ascii="Arial" w:hAnsi="Arial" w:cs="Arial"/>
          <w:sz w:val="20"/>
          <w:szCs w:val="20"/>
          <w:lang w:val="en-GB"/>
        </w:rPr>
      </w:pPr>
      <w:r>
        <w:rPr>
          <w:rFonts w:ascii="Arial" w:hAnsi="Arial" w:cs="Arial"/>
          <w:sz w:val="20"/>
          <w:szCs w:val="20"/>
          <w:lang w:val="en-GB"/>
        </w:rPr>
        <w:t>Ensure that routine Practice health and safety assessments include the impact of having students present.</w:t>
      </w:r>
    </w:p>
    <w:p>
      <w:pPr>
        <w:ind w:left="851" w:hanging="567"/>
        <w:contextualSpacing/>
        <w:jc w:val="both"/>
        <w:rPr>
          <w:rFonts w:ascii="Arial" w:hAnsi="Arial" w:cs="Arial"/>
          <w:sz w:val="20"/>
          <w:szCs w:val="20"/>
          <w:lang w:val="en-GB"/>
        </w:rPr>
      </w:pPr>
    </w:p>
    <w:p>
      <w:pPr>
        <w:pStyle w:val="38"/>
        <w:numPr>
          <w:ilvl w:val="1"/>
          <w:numId w:val="2"/>
        </w:numPr>
        <w:ind w:left="851" w:hanging="567"/>
        <w:jc w:val="both"/>
        <w:rPr>
          <w:rFonts w:ascii="Arial" w:hAnsi="Arial" w:cs="Arial"/>
          <w:sz w:val="20"/>
          <w:szCs w:val="20"/>
          <w:lang w:val="en-GB"/>
        </w:rPr>
      </w:pPr>
      <w:r>
        <w:rPr>
          <w:rFonts w:ascii="Arial" w:hAnsi="Arial" w:cs="Arial"/>
          <w:sz w:val="20"/>
          <w:szCs w:val="20"/>
          <w:lang w:val="en-GB"/>
        </w:rPr>
        <w:t>Advise all students of the Practice’s health and safety policies and procedures.</w:t>
      </w:r>
    </w:p>
    <w:p>
      <w:pPr>
        <w:contextualSpacing/>
        <w:jc w:val="both"/>
        <w:rPr>
          <w:rFonts w:ascii="Arial" w:hAnsi="Arial" w:cs="Arial"/>
          <w:sz w:val="20"/>
          <w:szCs w:val="20"/>
          <w:lang w:val="en-GB"/>
        </w:rPr>
      </w:pPr>
    </w:p>
    <w:p>
      <w:pPr>
        <w:pStyle w:val="38"/>
        <w:numPr>
          <w:ilvl w:val="1"/>
          <w:numId w:val="2"/>
        </w:numPr>
        <w:ind w:left="851" w:hanging="567"/>
        <w:jc w:val="both"/>
        <w:rPr>
          <w:rFonts w:ascii="Arial" w:hAnsi="Arial" w:cs="Arial"/>
          <w:sz w:val="20"/>
          <w:szCs w:val="20"/>
          <w:lang w:val="en-GB"/>
        </w:rPr>
      </w:pPr>
      <w:r>
        <w:rPr>
          <w:rFonts w:ascii="Arial" w:hAnsi="Arial" w:cs="Arial"/>
          <w:sz w:val="20"/>
          <w:szCs w:val="20"/>
          <w:lang w:val="en-GB"/>
        </w:rPr>
        <w:t>Comply with all appropriate communicated policies and procedures issued by the Centre for Medical Education and SUMDE Office.</w:t>
      </w:r>
    </w:p>
    <w:p>
      <w:pPr>
        <w:ind w:left="851" w:hanging="567"/>
        <w:contextualSpacing/>
        <w:jc w:val="both"/>
        <w:rPr>
          <w:rFonts w:ascii="Arial" w:hAnsi="Arial" w:cs="Arial"/>
          <w:sz w:val="20"/>
          <w:szCs w:val="20"/>
          <w:lang w:val="en-GB"/>
        </w:rPr>
      </w:pPr>
    </w:p>
    <w:p>
      <w:pPr>
        <w:pStyle w:val="38"/>
        <w:numPr>
          <w:ilvl w:val="1"/>
          <w:numId w:val="2"/>
        </w:numPr>
        <w:ind w:left="851" w:hanging="567"/>
        <w:jc w:val="both"/>
        <w:rPr>
          <w:rFonts w:ascii="Arial" w:hAnsi="Arial" w:cs="Arial"/>
          <w:sz w:val="20"/>
          <w:szCs w:val="20"/>
          <w:lang w:val="en-GB"/>
        </w:rPr>
      </w:pPr>
      <w:r>
        <w:rPr>
          <w:rFonts w:ascii="Arial" w:hAnsi="Arial" w:cs="Arial"/>
          <w:sz w:val="20"/>
          <w:szCs w:val="20"/>
          <w:lang w:val="en-GB"/>
        </w:rPr>
        <w:t>Inform the Centre for Medical Education if a member of the Practice is subject to a complaint to the GMC or other regulatory body.</w:t>
      </w:r>
    </w:p>
    <w:p>
      <w:pPr>
        <w:ind w:left="851" w:hanging="567"/>
        <w:contextualSpacing/>
        <w:jc w:val="both"/>
        <w:rPr>
          <w:rFonts w:ascii="Arial" w:hAnsi="Arial" w:cs="Arial"/>
          <w:sz w:val="20"/>
          <w:szCs w:val="20"/>
          <w:lang w:val="en-GB"/>
        </w:rPr>
      </w:pPr>
    </w:p>
    <w:p>
      <w:pPr>
        <w:pStyle w:val="38"/>
        <w:numPr>
          <w:ilvl w:val="1"/>
          <w:numId w:val="2"/>
        </w:numPr>
        <w:ind w:left="851" w:hanging="567"/>
        <w:jc w:val="both"/>
        <w:rPr>
          <w:rFonts w:ascii="Arial" w:hAnsi="Arial" w:cs="Arial"/>
          <w:sz w:val="20"/>
          <w:szCs w:val="20"/>
          <w:lang w:val="en-GB"/>
        </w:rPr>
      </w:pPr>
      <w:r>
        <w:rPr>
          <w:rFonts w:ascii="Arial" w:hAnsi="Arial" w:cs="Arial"/>
          <w:sz w:val="20"/>
          <w:szCs w:val="20"/>
          <w:lang w:val="en-GB"/>
        </w:rPr>
        <w:t>Complete any documentation as required by the Centre for Medical Education and SUMDE Office.</w:t>
      </w:r>
    </w:p>
    <w:p>
      <w:pPr>
        <w:pStyle w:val="38"/>
        <w:ind w:left="851" w:hanging="567"/>
        <w:rPr>
          <w:rFonts w:ascii="Arial" w:hAnsi="Arial" w:cs="Arial"/>
          <w:sz w:val="20"/>
          <w:szCs w:val="20"/>
          <w:lang w:val="en-GB"/>
        </w:rPr>
      </w:pPr>
    </w:p>
    <w:p>
      <w:pPr>
        <w:pStyle w:val="38"/>
        <w:numPr>
          <w:ilvl w:val="1"/>
          <w:numId w:val="2"/>
        </w:numPr>
        <w:ind w:left="851" w:hanging="567"/>
        <w:jc w:val="both"/>
        <w:rPr>
          <w:rFonts w:ascii="Arial" w:hAnsi="Arial" w:cs="Arial"/>
          <w:sz w:val="20"/>
          <w:szCs w:val="20"/>
          <w:lang w:val="en-GB"/>
        </w:rPr>
      </w:pPr>
      <w:r>
        <w:rPr>
          <w:rFonts w:ascii="Arial" w:hAnsi="Arial" w:cs="Arial"/>
          <w:sz w:val="20"/>
          <w:szCs w:val="20"/>
          <w:lang w:val="en-GB"/>
        </w:rPr>
        <w:t>Inform the SUMDE Office of any reduction in sessions delivered (compared to those stated in Appendix 4).</w:t>
      </w:r>
    </w:p>
    <w:p>
      <w:pPr>
        <w:contextualSpacing/>
        <w:rPr>
          <w:rFonts w:ascii="Arial" w:hAnsi="Arial" w:cs="Arial"/>
          <w:sz w:val="20"/>
          <w:szCs w:val="20"/>
          <w:lang w:val="en-GB"/>
        </w:rPr>
      </w:pPr>
    </w:p>
    <w:p>
      <w:pPr>
        <w:contextualSpacing/>
        <w:rPr>
          <w:rFonts w:ascii="Arial" w:hAnsi="Arial" w:cs="Arial"/>
          <w:sz w:val="20"/>
          <w:szCs w:val="20"/>
          <w:lang w:val="en-GB"/>
        </w:rPr>
      </w:pPr>
    </w:p>
    <w:p>
      <w:pPr>
        <w:pStyle w:val="38"/>
        <w:numPr>
          <w:ilvl w:val="0"/>
          <w:numId w:val="2"/>
        </w:numPr>
        <w:jc w:val="both"/>
        <w:rPr>
          <w:rFonts w:ascii="Arial" w:hAnsi="Arial" w:cs="Arial"/>
          <w:sz w:val="20"/>
          <w:szCs w:val="20"/>
          <w:lang w:val="en-GB"/>
        </w:rPr>
      </w:pPr>
      <w:r>
        <w:rPr>
          <w:rFonts w:ascii="Arial" w:hAnsi="Arial" w:cs="Arial"/>
          <w:b/>
          <w:sz w:val="20"/>
          <w:szCs w:val="20"/>
          <w:lang w:val="en-GB"/>
        </w:rPr>
        <w:t>Centre for Medical Education Obligations</w:t>
      </w:r>
    </w:p>
    <w:p>
      <w:pPr>
        <w:pStyle w:val="13"/>
        <w:tabs>
          <w:tab w:val="clear" w:pos="567"/>
        </w:tabs>
        <w:ind w:left="0" w:firstLine="0"/>
        <w:contextualSpacing/>
        <w:jc w:val="both"/>
        <w:rPr>
          <w:rFonts w:ascii="Arial" w:hAnsi="Arial" w:cs="Arial"/>
        </w:rPr>
      </w:pPr>
    </w:p>
    <w:p>
      <w:pPr>
        <w:pStyle w:val="13"/>
        <w:tabs>
          <w:tab w:val="clear" w:pos="567"/>
        </w:tabs>
        <w:ind w:left="0" w:firstLine="0"/>
        <w:contextualSpacing/>
        <w:jc w:val="both"/>
        <w:rPr>
          <w:rFonts w:ascii="Arial" w:hAnsi="Arial" w:cs="Arial"/>
        </w:rPr>
      </w:pPr>
      <w:r>
        <w:rPr>
          <w:rFonts w:ascii="Arial" w:hAnsi="Arial" w:cs="Arial"/>
        </w:rPr>
        <w:t>The Centre for Medical Education staff agree to:</w:t>
      </w:r>
    </w:p>
    <w:p>
      <w:pPr>
        <w:pStyle w:val="13"/>
        <w:tabs>
          <w:tab w:val="clear" w:pos="567"/>
        </w:tabs>
        <w:ind w:hanging="567"/>
        <w:contextualSpacing/>
        <w:jc w:val="both"/>
        <w:rPr>
          <w:rFonts w:ascii="Arial" w:hAnsi="Arial" w:cs="Arial"/>
        </w:rPr>
      </w:pPr>
    </w:p>
    <w:p>
      <w:pPr>
        <w:pStyle w:val="13"/>
        <w:numPr>
          <w:ilvl w:val="1"/>
          <w:numId w:val="2"/>
        </w:numPr>
        <w:tabs>
          <w:tab w:val="clear" w:pos="567"/>
        </w:tabs>
        <w:ind w:left="851" w:hanging="567"/>
        <w:contextualSpacing/>
        <w:jc w:val="both"/>
        <w:rPr>
          <w:rFonts w:ascii="Arial" w:hAnsi="Arial" w:cs="Arial"/>
        </w:rPr>
      </w:pPr>
      <w:r>
        <w:rPr>
          <w:rFonts w:ascii="Arial" w:hAnsi="Arial" w:cs="Arial"/>
        </w:rPr>
        <w:t>Provide the Learning Outcomes of each teaching programme and provide supplementary teaching packs where necessary.</w:t>
      </w:r>
    </w:p>
    <w:p>
      <w:pPr>
        <w:pStyle w:val="13"/>
        <w:tabs>
          <w:tab w:val="clear" w:pos="567"/>
        </w:tabs>
        <w:ind w:hanging="567"/>
        <w:contextualSpacing/>
        <w:jc w:val="both"/>
        <w:rPr>
          <w:rFonts w:ascii="Arial" w:hAnsi="Arial" w:cs="Arial"/>
        </w:rPr>
      </w:pPr>
    </w:p>
    <w:p>
      <w:pPr>
        <w:pStyle w:val="38"/>
        <w:numPr>
          <w:ilvl w:val="1"/>
          <w:numId w:val="2"/>
        </w:numPr>
        <w:ind w:left="851" w:hanging="567"/>
        <w:jc w:val="both"/>
        <w:rPr>
          <w:rFonts w:ascii="Arial" w:hAnsi="Arial" w:cs="Arial"/>
          <w:sz w:val="20"/>
          <w:szCs w:val="20"/>
          <w:lang w:val="en-GB"/>
        </w:rPr>
      </w:pPr>
      <w:r>
        <w:rPr>
          <w:rFonts w:ascii="Arial" w:hAnsi="Arial" w:cs="Arial"/>
          <w:sz w:val="20"/>
          <w:szCs w:val="20"/>
          <w:lang w:val="en-GB"/>
        </w:rPr>
        <w:t>Provide details to SUMDE Office to facilitate payment claims on behalf of Practices via Business Services Organisation (BSO) (Appendix 4).</w:t>
      </w:r>
    </w:p>
    <w:p>
      <w:pPr>
        <w:ind w:left="851" w:hanging="567"/>
        <w:contextualSpacing/>
        <w:jc w:val="both"/>
        <w:rPr>
          <w:rFonts w:ascii="Arial" w:hAnsi="Arial" w:cs="Arial"/>
          <w:sz w:val="20"/>
          <w:szCs w:val="20"/>
          <w:lang w:val="en-GB"/>
        </w:rPr>
      </w:pPr>
    </w:p>
    <w:p>
      <w:pPr>
        <w:pStyle w:val="38"/>
        <w:numPr>
          <w:ilvl w:val="1"/>
          <w:numId w:val="2"/>
        </w:numPr>
        <w:ind w:left="851" w:hanging="567"/>
        <w:jc w:val="both"/>
        <w:rPr>
          <w:rFonts w:ascii="Arial" w:hAnsi="Arial" w:cs="Arial"/>
          <w:sz w:val="20"/>
          <w:szCs w:val="20"/>
          <w:lang w:val="en-GB"/>
        </w:rPr>
      </w:pPr>
      <w:r>
        <w:rPr>
          <w:rFonts w:ascii="Arial" w:hAnsi="Arial" w:cs="Arial"/>
          <w:sz w:val="20"/>
          <w:szCs w:val="20"/>
          <w:lang w:val="en-GB"/>
        </w:rPr>
        <w:t>Provide regular feedback, highlighting areas of excellence or deficiency.</w:t>
      </w:r>
    </w:p>
    <w:p>
      <w:pPr>
        <w:ind w:left="851" w:hanging="567"/>
        <w:contextualSpacing/>
        <w:jc w:val="both"/>
        <w:rPr>
          <w:rFonts w:ascii="Arial" w:hAnsi="Arial" w:cs="Arial"/>
          <w:sz w:val="20"/>
          <w:szCs w:val="20"/>
          <w:lang w:val="en-GB"/>
        </w:rPr>
      </w:pPr>
    </w:p>
    <w:p>
      <w:pPr>
        <w:pStyle w:val="38"/>
        <w:numPr>
          <w:ilvl w:val="1"/>
          <w:numId w:val="2"/>
        </w:numPr>
        <w:ind w:left="851" w:hanging="567"/>
        <w:jc w:val="both"/>
        <w:rPr>
          <w:rFonts w:ascii="Arial" w:hAnsi="Arial" w:cs="Arial"/>
          <w:sz w:val="20"/>
          <w:szCs w:val="20"/>
          <w:lang w:val="en-GB"/>
        </w:rPr>
      </w:pPr>
      <w:r>
        <w:rPr>
          <w:rFonts w:ascii="Arial" w:hAnsi="Arial" w:cs="Arial"/>
          <w:sz w:val="20"/>
          <w:szCs w:val="20"/>
          <w:lang w:val="en-GB"/>
        </w:rPr>
        <w:t>Provide training for relevant staff of the Practice in relation to teaching and examining students.</w:t>
      </w:r>
    </w:p>
    <w:p>
      <w:pPr>
        <w:ind w:left="851" w:hanging="567"/>
        <w:contextualSpacing/>
        <w:jc w:val="both"/>
        <w:rPr>
          <w:rFonts w:ascii="Arial" w:hAnsi="Arial" w:cs="Arial"/>
          <w:sz w:val="20"/>
          <w:szCs w:val="20"/>
          <w:lang w:val="en-GB"/>
        </w:rPr>
      </w:pPr>
    </w:p>
    <w:p>
      <w:pPr>
        <w:pStyle w:val="38"/>
        <w:numPr>
          <w:ilvl w:val="1"/>
          <w:numId w:val="2"/>
        </w:numPr>
        <w:ind w:left="851" w:hanging="567"/>
        <w:jc w:val="both"/>
        <w:rPr>
          <w:rFonts w:ascii="Arial" w:hAnsi="Arial" w:cs="Arial"/>
          <w:sz w:val="20"/>
          <w:szCs w:val="20"/>
          <w:lang w:val="en-GB"/>
        </w:rPr>
      </w:pPr>
      <w:r>
        <w:rPr>
          <w:rFonts w:ascii="Arial" w:hAnsi="Arial" w:cs="Arial"/>
          <w:sz w:val="20"/>
          <w:szCs w:val="20"/>
          <w:lang w:val="en-GB"/>
        </w:rPr>
        <w:t>Ensure that students are aware of appropriate Codes of Conduct, dress and attitude for attendance at the Practice.</w:t>
      </w:r>
    </w:p>
    <w:p>
      <w:pPr>
        <w:ind w:left="851" w:hanging="567"/>
        <w:contextualSpacing/>
        <w:jc w:val="both"/>
        <w:rPr>
          <w:rFonts w:ascii="Arial" w:hAnsi="Arial" w:cs="Arial"/>
          <w:sz w:val="20"/>
          <w:szCs w:val="20"/>
          <w:lang w:val="en-GB"/>
        </w:rPr>
      </w:pPr>
    </w:p>
    <w:p>
      <w:pPr>
        <w:pStyle w:val="38"/>
        <w:numPr>
          <w:ilvl w:val="1"/>
          <w:numId w:val="2"/>
        </w:numPr>
        <w:ind w:left="851" w:hanging="567"/>
        <w:jc w:val="both"/>
        <w:rPr>
          <w:rFonts w:ascii="Arial" w:hAnsi="Arial" w:cs="Arial"/>
          <w:sz w:val="20"/>
          <w:szCs w:val="20"/>
          <w:lang w:val="en-GB"/>
        </w:rPr>
      </w:pPr>
      <w:r>
        <w:rPr>
          <w:rFonts w:ascii="Arial" w:hAnsi="Arial" w:cs="Arial"/>
          <w:sz w:val="20"/>
          <w:szCs w:val="20"/>
          <w:lang w:val="en-GB"/>
        </w:rPr>
        <w:t>Renew the Agreement following a positive review outcome of the Practice's teaching.  This is subject to availability of SUMDE funding.</w:t>
      </w:r>
    </w:p>
    <w:p>
      <w:pPr>
        <w:ind w:left="851" w:hanging="567"/>
        <w:contextualSpacing/>
        <w:jc w:val="both"/>
        <w:rPr>
          <w:rFonts w:ascii="Arial" w:hAnsi="Arial" w:cs="Arial"/>
          <w:sz w:val="20"/>
          <w:szCs w:val="20"/>
          <w:lang w:val="en-GB"/>
        </w:rPr>
      </w:pPr>
    </w:p>
    <w:p>
      <w:pPr>
        <w:pStyle w:val="38"/>
        <w:numPr>
          <w:ilvl w:val="1"/>
          <w:numId w:val="2"/>
        </w:numPr>
        <w:ind w:left="851" w:hanging="567"/>
        <w:jc w:val="both"/>
        <w:rPr>
          <w:rFonts w:ascii="Arial" w:hAnsi="Arial" w:cs="Arial"/>
          <w:sz w:val="20"/>
          <w:szCs w:val="20"/>
          <w:lang w:val="en-GB"/>
        </w:rPr>
      </w:pPr>
      <w:r>
        <w:rPr>
          <w:rFonts w:ascii="Arial" w:hAnsi="Arial" w:cs="Arial"/>
          <w:sz w:val="20"/>
          <w:szCs w:val="20"/>
          <w:lang w:val="en-GB"/>
        </w:rPr>
        <w:t>Notify the Practice of the names of students to attend and the dates on which they will attend.</w:t>
      </w:r>
    </w:p>
    <w:p>
      <w:pPr>
        <w:ind w:left="851" w:hanging="567"/>
        <w:contextualSpacing/>
        <w:jc w:val="both"/>
        <w:rPr>
          <w:rFonts w:ascii="Arial" w:hAnsi="Arial" w:cs="Arial"/>
          <w:sz w:val="20"/>
          <w:szCs w:val="20"/>
          <w:lang w:val="en-GB"/>
        </w:rPr>
      </w:pPr>
    </w:p>
    <w:p>
      <w:pPr>
        <w:pStyle w:val="38"/>
        <w:numPr>
          <w:ilvl w:val="1"/>
          <w:numId w:val="2"/>
        </w:numPr>
        <w:ind w:left="851" w:hanging="567"/>
        <w:jc w:val="both"/>
        <w:rPr>
          <w:rFonts w:ascii="Arial" w:hAnsi="Arial" w:cs="Arial"/>
          <w:sz w:val="20"/>
          <w:szCs w:val="20"/>
          <w:lang w:val="en-GB"/>
        </w:rPr>
      </w:pPr>
      <w:r>
        <w:rPr>
          <w:rFonts w:ascii="Arial" w:hAnsi="Arial" w:cs="Arial"/>
          <w:sz w:val="20"/>
          <w:szCs w:val="20"/>
          <w:lang w:val="en-GB"/>
        </w:rPr>
        <w:t>Notify the Practice of known health or personal problems of attached students, with the student’s permission, if they might affect the student's performance whilst at the Practice.</w:t>
      </w:r>
    </w:p>
    <w:p>
      <w:pPr>
        <w:ind w:left="851" w:hanging="567"/>
        <w:contextualSpacing/>
        <w:jc w:val="both"/>
        <w:rPr>
          <w:rFonts w:ascii="Arial" w:hAnsi="Arial" w:cs="Arial"/>
          <w:sz w:val="20"/>
          <w:szCs w:val="20"/>
        </w:rPr>
      </w:pPr>
    </w:p>
    <w:p>
      <w:pPr>
        <w:pStyle w:val="38"/>
        <w:numPr>
          <w:ilvl w:val="1"/>
          <w:numId w:val="2"/>
        </w:numPr>
        <w:ind w:left="851" w:hanging="567"/>
        <w:jc w:val="both"/>
        <w:rPr>
          <w:rFonts w:ascii="Arial" w:hAnsi="Arial" w:cs="Arial"/>
          <w:sz w:val="20"/>
          <w:szCs w:val="20"/>
        </w:rPr>
      </w:pPr>
      <w:r>
        <w:rPr>
          <w:rFonts w:ascii="Arial" w:hAnsi="Arial" w:cs="Arial"/>
          <w:sz w:val="20"/>
          <w:szCs w:val="20"/>
        </w:rPr>
        <w:t>Sign off the CP2A form only for the Responsible Tutor in relation to his/her teaching undergraduate students within the Practice.</w:t>
      </w:r>
    </w:p>
    <w:p>
      <w:pPr>
        <w:contextualSpacing/>
        <w:jc w:val="both"/>
        <w:rPr>
          <w:rFonts w:ascii="Arial" w:hAnsi="Arial" w:cs="Arial"/>
          <w:sz w:val="20"/>
          <w:szCs w:val="20"/>
          <w:lang w:val="en-GB"/>
        </w:rPr>
      </w:pPr>
    </w:p>
    <w:p>
      <w:pPr>
        <w:contextualSpacing/>
        <w:jc w:val="both"/>
        <w:rPr>
          <w:rFonts w:ascii="Arial" w:hAnsi="Arial" w:cs="Arial"/>
          <w:sz w:val="20"/>
          <w:szCs w:val="20"/>
          <w:lang w:val="en-GB"/>
        </w:rPr>
      </w:pPr>
    </w:p>
    <w:p>
      <w:pPr>
        <w:pStyle w:val="38"/>
        <w:numPr>
          <w:ilvl w:val="0"/>
          <w:numId w:val="2"/>
        </w:numPr>
        <w:jc w:val="both"/>
        <w:outlineLvl w:val="0"/>
        <w:rPr>
          <w:rFonts w:ascii="Arial" w:hAnsi="Arial" w:cs="Arial"/>
          <w:sz w:val="20"/>
          <w:szCs w:val="20"/>
          <w:lang w:val="en-GB"/>
        </w:rPr>
      </w:pPr>
      <w:r>
        <w:rPr>
          <w:rFonts w:ascii="Arial" w:hAnsi="Arial" w:cs="Arial"/>
          <w:b/>
          <w:sz w:val="20"/>
          <w:szCs w:val="20"/>
          <w:lang w:val="en-GB"/>
        </w:rPr>
        <w:t>The Centre for Medical Education &amp; Practice Staff agree that:</w:t>
      </w:r>
    </w:p>
    <w:p>
      <w:pPr>
        <w:pStyle w:val="20"/>
        <w:tabs>
          <w:tab w:val="clear" w:pos="4153"/>
          <w:tab w:val="clear" w:pos="8306"/>
        </w:tabs>
        <w:contextualSpacing/>
        <w:jc w:val="both"/>
        <w:rPr>
          <w:rFonts w:ascii="Arial" w:hAnsi="Arial" w:cs="Arial"/>
          <w:sz w:val="20"/>
          <w:lang w:val="en-GB"/>
        </w:rPr>
      </w:pPr>
    </w:p>
    <w:p>
      <w:pPr>
        <w:pStyle w:val="20"/>
        <w:numPr>
          <w:ilvl w:val="1"/>
          <w:numId w:val="2"/>
        </w:numPr>
        <w:tabs>
          <w:tab w:val="clear" w:pos="4153"/>
          <w:tab w:val="clear" w:pos="8306"/>
        </w:tabs>
        <w:ind w:left="851" w:hanging="567"/>
        <w:contextualSpacing/>
        <w:jc w:val="both"/>
        <w:rPr>
          <w:rFonts w:ascii="Arial" w:hAnsi="Arial" w:cs="Arial"/>
          <w:sz w:val="20"/>
          <w:lang w:val="en-GB"/>
        </w:rPr>
      </w:pPr>
      <w:r>
        <w:rPr>
          <w:rFonts w:ascii="Arial" w:hAnsi="Arial" w:cs="Arial"/>
          <w:sz w:val="20"/>
          <w:lang w:val="en-GB"/>
        </w:rPr>
        <w:t xml:space="preserve">Breaches to the Agreement should be resolved as soon as possible.  This will include discussion and preparation of a plan for remedial action.  Continued breach of contract will result in withdrawal of students from the Practice.  </w:t>
      </w:r>
    </w:p>
    <w:p>
      <w:pPr>
        <w:pStyle w:val="20"/>
        <w:tabs>
          <w:tab w:val="clear" w:pos="4153"/>
          <w:tab w:val="clear" w:pos="8306"/>
        </w:tabs>
        <w:ind w:left="851" w:hanging="567"/>
        <w:contextualSpacing/>
        <w:jc w:val="both"/>
        <w:rPr>
          <w:rFonts w:ascii="Arial" w:hAnsi="Arial" w:cs="Arial"/>
          <w:sz w:val="20"/>
          <w:lang w:val="en-GB"/>
        </w:rPr>
      </w:pPr>
    </w:p>
    <w:p>
      <w:pPr>
        <w:pStyle w:val="20"/>
        <w:numPr>
          <w:ilvl w:val="1"/>
          <w:numId w:val="2"/>
        </w:numPr>
        <w:tabs>
          <w:tab w:val="clear" w:pos="4153"/>
          <w:tab w:val="clear" w:pos="8306"/>
        </w:tabs>
        <w:ind w:left="851" w:hanging="567"/>
        <w:contextualSpacing/>
        <w:jc w:val="both"/>
        <w:rPr>
          <w:rFonts w:ascii="Arial" w:hAnsi="Arial" w:cs="Arial"/>
          <w:sz w:val="20"/>
          <w:lang w:val="en-GB"/>
        </w:rPr>
      </w:pPr>
      <w:r>
        <w:rPr>
          <w:rFonts w:ascii="Arial" w:hAnsi="Arial" w:cs="Arial"/>
          <w:sz w:val="20"/>
          <w:lang w:val="en-GB"/>
        </w:rPr>
        <w:t>Student places will normally be assured for a period of five years for Practices that have specifically invested in facilities for undergraduate teaching.  These will be the typical student group normally received by the Practice.  The intention is to recognise long-term investment with attendance of students.  There are many factors influencing this, so flexibility is requested in enforcing this element of the Agreement.</w:t>
      </w:r>
    </w:p>
    <w:p>
      <w:pPr>
        <w:pStyle w:val="20"/>
        <w:tabs>
          <w:tab w:val="clear" w:pos="4153"/>
          <w:tab w:val="clear" w:pos="8306"/>
        </w:tabs>
        <w:ind w:left="851" w:hanging="567"/>
        <w:contextualSpacing/>
        <w:jc w:val="both"/>
        <w:rPr>
          <w:rFonts w:ascii="Arial" w:hAnsi="Arial" w:cs="Arial"/>
          <w:sz w:val="20"/>
          <w:lang w:val="en-GB"/>
        </w:rPr>
      </w:pPr>
    </w:p>
    <w:p>
      <w:pPr>
        <w:pStyle w:val="20"/>
        <w:numPr>
          <w:ilvl w:val="1"/>
          <w:numId w:val="2"/>
        </w:numPr>
        <w:tabs>
          <w:tab w:val="clear" w:pos="4153"/>
          <w:tab w:val="clear" w:pos="8306"/>
        </w:tabs>
        <w:ind w:left="851" w:hanging="567"/>
        <w:contextualSpacing/>
        <w:jc w:val="both"/>
        <w:rPr>
          <w:rFonts w:ascii="Arial" w:hAnsi="Arial" w:cs="Arial"/>
          <w:sz w:val="20"/>
          <w:lang w:val="en-GB"/>
        </w:rPr>
      </w:pPr>
      <w:r>
        <w:rPr>
          <w:rFonts w:ascii="Arial" w:hAnsi="Arial" w:cs="Arial"/>
          <w:sz w:val="20"/>
          <w:lang w:val="en-GB"/>
        </w:rPr>
        <w:t>No variation to this Agreement shall be valid unless in writing and signed by both parties.</w:t>
      </w:r>
    </w:p>
    <w:p>
      <w:pPr>
        <w:pStyle w:val="20"/>
        <w:tabs>
          <w:tab w:val="clear" w:pos="4153"/>
          <w:tab w:val="clear" w:pos="8306"/>
        </w:tabs>
        <w:contextualSpacing/>
        <w:jc w:val="both"/>
        <w:rPr>
          <w:rFonts w:ascii="Arial" w:hAnsi="Arial" w:cs="Arial"/>
          <w:sz w:val="20"/>
          <w:lang w:val="en-GB"/>
        </w:rPr>
      </w:pPr>
    </w:p>
    <w:p>
      <w:pPr>
        <w:contextualSpacing/>
        <w:outlineLvl w:val="0"/>
        <w:rPr>
          <w:rFonts w:ascii="Arial" w:hAnsi="Arial" w:cs="Arial"/>
          <w:sz w:val="20"/>
          <w:szCs w:val="20"/>
          <w:lang w:val="en-GB"/>
        </w:rPr>
      </w:pPr>
    </w:p>
    <w:p>
      <w:pPr>
        <w:contextualSpacing/>
        <w:outlineLvl w:val="0"/>
        <w:rPr>
          <w:rFonts w:ascii="Arial" w:hAnsi="Arial" w:cs="Arial"/>
          <w:sz w:val="20"/>
          <w:szCs w:val="20"/>
          <w:lang w:val="en-GB"/>
        </w:rPr>
      </w:pPr>
    </w:p>
    <w:p>
      <w:pPr>
        <w:pStyle w:val="38"/>
        <w:numPr>
          <w:ilvl w:val="0"/>
          <w:numId w:val="2"/>
        </w:numPr>
        <w:rPr>
          <w:rFonts w:ascii="Arial" w:hAnsi="Arial" w:cs="Arial"/>
          <w:b/>
          <w:sz w:val="20"/>
          <w:szCs w:val="20"/>
          <w:lang w:val="en-GB"/>
        </w:rPr>
      </w:pPr>
      <w:r>
        <w:rPr>
          <w:rFonts w:ascii="Arial" w:hAnsi="Arial" w:cs="Arial"/>
          <w:b/>
          <w:sz w:val="20"/>
          <w:szCs w:val="20"/>
          <w:lang w:val="en-GB"/>
        </w:rPr>
        <w:t>SUMDE Office Obligations</w:t>
      </w:r>
    </w:p>
    <w:p>
      <w:pPr>
        <w:pStyle w:val="38"/>
        <w:ind w:left="360"/>
        <w:rPr>
          <w:rFonts w:ascii="Arial" w:hAnsi="Arial" w:cs="Arial"/>
          <w:b/>
          <w:sz w:val="20"/>
          <w:szCs w:val="20"/>
          <w:u w:val="single"/>
          <w:lang w:val="en-GB"/>
        </w:rPr>
      </w:pPr>
    </w:p>
    <w:p>
      <w:pPr>
        <w:pStyle w:val="38"/>
        <w:numPr>
          <w:ilvl w:val="1"/>
          <w:numId w:val="2"/>
        </w:numPr>
        <w:ind w:left="851" w:hanging="567"/>
        <w:rPr>
          <w:rFonts w:ascii="Arial" w:hAnsi="Arial" w:cs="Arial"/>
          <w:sz w:val="20"/>
          <w:szCs w:val="20"/>
          <w:lang w:val="en-GB"/>
        </w:rPr>
      </w:pPr>
      <w:r>
        <w:rPr>
          <w:rFonts w:ascii="Arial" w:hAnsi="Arial" w:cs="Arial"/>
          <w:sz w:val="20"/>
          <w:szCs w:val="20"/>
          <w:lang w:val="en-GB"/>
        </w:rPr>
        <w:t xml:space="preserve">SUMDE Office, on behalf of Department of Health, shall process and approve payments for Practices as advised by Queen’s.  </w:t>
      </w:r>
    </w:p>
    <w:p>
      <w:pPr>
        <w:pStyle w:val="38"/>
        <w:ind w:left="851" w:hanging="567"/>
        <w:rPr>
          <w:rFonts w:ascii="Arial" w:hAnsi="Arial" w:cs="Arial"/>
          <w:sz w:val="20"/>
          <w:szCs w:val="20"/>
          <w:lang w:val="en-GB"/>
        </w:rPr>
      </w:pPr>
    </w:p>
    <w:p>
      <w:pPr>
        <w:pStyle w:val="38"/>
        <w:numPr>
          <w:ilvl w:val="1"/>
          <w:numId w:val="2"/>
        </w:numPr>
        <w:ind w:left="851" w:hanging="567"/>
        <w:rPr>
          <w:rFonts w:ascii="Arial" w:hAnsi="Arial" w:cs="Arial"/>
          <w:sz w:val="20"/>
          <w:szCs w:val="20"/>
          <w:lang w:val="en-GB"/>
        </w:rPr>
      </w:pPr>
      <w:r>
        <w:rPr>
          <w:rFonts w:ascii="Arial" w:hAnsi="Arial" w:cs="Arial"/>
          <w:sz w:val="20"/>
          <w:lang w:val="en-GB"/>
        </w:rPr>
        <w:t>Payment shall be made only for those students taught to the acceptable standard as defined by the Centre for Medical Education.</w:t>
      </w:r>
    </w:p>
    <w:p>
      <w:pPr>
        <w:ind w:left="851" w:hanging="567"/>
        <w:rPr>
          <w:rFonts w:ascii="Arial" w:hAnsi="Arial" w:cs="Arial"/>
          <w:sz w:val="20"/>
          <w:szCs w:val="20"/>
          <w:lang w:val="en-GB"/>
        </w:rPr>
      </w:pPr>
    </w:p>
    <w:p>
      <w:pPr>
        <w:pStyle w:val="38"/>
        <w:numPr>
          <w:ilvl w:val="1"/>
          <w:numId w:val="2"/>
        </w:numPr>
        <w:ind w:left="851" w:hanging="567"/>
        <w:rPr>
          <w:rFonts w:ascii="Arial" w:hAnsi="Arial" w:cs="Arial"/>
          <w:sz w:val="20"/>
          <w:szCs w:val="20"/>
          <w:lang w:val="en-GB"/>
        </w:rPr>
      </w:pPr>
      <w:r>
        <w:rPr>
          <w:rFonts w:ascii="Arial" w:hAnsi="Arial" w:cs="Arial"/>
          <w:sz w:val="20"/>
          <w:szCs w:val="20"/>
          <w:lang w:val="en-GB"/>
        </w:rPr>
        <w:t>Payment shall be made only for sessions delivered by Practices unless otherwise unavoidable (for example, student or GP illness).</w:t>
      </w:r>
    </w:p>
    <w:p>
      <w:pPr>
        <w:pStyle w:val="38"/>
        <w:ind w:left="851" w:hanging="567"/>
        <w:rPr>
          <w:rFonts w:ascii="Arial" w:hAnsi="Arial" w:cs="Arial"/>
          <w:sz w:val="20"/>
          <w:szCs w:val="20"/>
          <w:lang w:val="en-GB"/>
        </w:rPr>
      </w:pPr>
    </w:p>
    <w:p>
      <w:pPr>
        <w:pStyle w:val="38"/>
        <w:numPr>
          <w:ilvl w:val="1"/>
          <w:numId w:val="2"/>
        </w:numPr>
        <w:ind w:left="851" w:hanging="567"/>
        <w:rPr>
          <w:rFonts w:ascii="Arial" w:hAnsi="Arial" w:cs="Arial"/>
          <w:sz w:val="20"/>
          <w:szCs w:val="20"/>
          <w:lang w:val="en-GB"/>
        </w:rPr>
      </w:pPr>
      <w:r>
        <w:rPr>
          <w:rFonts w:ascii="Arial" w:hAnsi="Arial" w:cs="Arial"/>
          <w:sz w:val="20"/>
          <w:szCs w:val="20"/>
          <w:lang w:val="en-GB"/>
        </w:rPr>
        <w:t>No payment shall be given for cancellation more than 2 weeks prior to the intended placement date.</w:t>
      </w:r>
    </w:p>
    <w:p>
      <w:pPr>
        <w:pStyle w:val="38"/>
        <w:ind w:left="851" w:hanging="567"/>
        <w:rPr>
          <w:rFonts w:ascii="Arial" w:hAnsi="Arial" w:cs="Arial"/>
          <w:sz w:val="20"/>
          <w:szCs w:val="20"/>
          <w:lang w:val="en-GB"/>
        </w:rPr>
      </w:pPr>
    </w:p>
    <w:p>
      <w:pPr>
        <w:pStyle w:val="38"/>
        <w:numPr>
          <w:ilvl w:val="1"/>
          <w:numId w:val="2"/>
        </w:numPr>
        <w:ind w:left="851" w:hanging="567"/>
        <w:rPr>
          <w:rFonts w:ascii="Arial" w:hAnsi="Arial" w:cs="Arial"/>
          <w:sz w:val="20"/>
          <w:szCs w:val="20"/>
          <w:lang w:val="en-GB"/>
        </w:rPr>
      </w:pPr>
      <w:r>
        <w:rPr>
          <w:rFonts w:ascii="Arial" w:hAnsi="Arial" w:cs="Arial"/>
          <w:sz w:val="20"/>
          <w:szCs w:val="20"/>
          <w:lang w:val="en-GB"/>
        </w:rPr>
        <w:t>In the event of the University cancelling the placement within 2 weeks of the start date, half the remuneration shall be awarded.</w:t>
      </w:r>
    </w:p>
    <w:p>
      <w:pPr>
        <w:rPr>
          <w:rFonts w:ascii="Arial" w:hAnsi="Arial" w:cs="Arial"/>
          <w:sz w:val="20"/>
          <w:szCs w:val="20"/>
          <w:lang w:val="en-GB"/>
        </w:rPr>
      </w:pPr>
    </w:p>
    <w:p>
      <w:pPr>
        <w:pStyle w:val="38"/>
        <w:numPr>
          <w:ilvl w:val="1"/>
          <w:numId w:val="2"/>
        </w:numPr>
        <w:ind w:left="851" w:hanging="567"/>
        <w:rPr>
          <w:rFonts w:ascii="Arial" w:hAnsi="Arial" w:cs="Arial"/>
          <w:sz w:val="20"/>
          <w:szCs w:val="20"/>
          <w:lang w:val="en-GB"/>
        </w:rPr>
      </w:pPr>
      <w:r>
        <w:rPr>
          <w:rFonts w:ascii="Arial" w:hAnsi="Arial" w:cs="Arial"/>
          <w:sz w:val="20"/>
          <w:szCs w:val="20"/>
          <w:lang w:val="en-GB"/>
        </w:rPr>
        <w:t>In the event of the Practice cancelling the placement within 2 weeks of the start date, no remuneration shall be awarded.</w:t>
      </w:r>
    </w:p>
    <w:p>
      <w:pPr>
        <w:rPr>
          <w:rFonts w:ascii="Arial" w:hAnsi="Arial" w:cs="Arial"/>
          <w:b/>
          <w:sz w:val="20"/>
          <w:szCs w:val="20"/>
          <w:u w:val="single"/>
          <w:lang w:val="en-GB"/>
        </w:rPr>
      </w:pPr>
    </w:p>
    <w:p>
      <w:pPr>
        <w:rPr>
          <w:rFonts w:ascii="Arial" w:hAnsi="Arial" w:cs="Arial"/>
          <w:b/>
          <w:sz w:val="20"/>
          <w:szCs w:val="20"/>
          <w:u w:val="single"/>
          <w:lang w:val="en-GB"/>
        </w:rPr>
      </w:pPr>
    </w:p>
    <w:p>
      <w:pPr>
        <w:pStyle w:val="38"/>
        <w:numPr>
          <w:ilvl w:val="0"/>
          <w:numId w:val="2"/>
        </w:numPr>
        <w:rPr>
          <w:rFonts w:ascii="Arial" w:hAnsi="Arial" w:cs="Arial"/>
          <w:b/>
          <w:sz w:val="20"/>
          <w:szCs w:val="20"/>
          <w:lang w:val="en-GB"/>
        </w:rPr>
      </w:pPr>
      <w:r>
        <w:rPr>
          <w:rFonts w:ascii="Arial" w:hAnsi="Arial" w:cs="Arial"/>
          <w:b/>
          <w:sz w:val="20"/>
          <w:szCs w:val="20"/>
          <w:lang w:val="en-GB"/>
        </w:rPr>
        <w:t>Data Protection</w:t>
      </w:r>
    </w:p>
    <w:p>
      <w:pPr>
        <w:contextualSpacing/>
        <w:rPr>
          <w:rFonts w:ascii="Arial" w:hAnsi="Arial" w:cs="Arial"/>
          <w:b/>
          <w:sz w:val="20"/>
          <w:szCs w:val="20"/>
          <w:u w:val="single"/>
          <w:lang w:val="en-GB"/>
        </w:rPr>
      </w:pPr>
    </w:p>
    <w:p>
      <w:pPr>
        <w:pStyle w:val="38"/>
        <w:numPr>
          <w:ilvl w:val="1"/>
          <w:numId w:val="2"/>
        </w:numPr>
        <w:rPr>
          <w:rFonts w:ascii="Arial" w:hAnsi="Arial" w:cs="Arial"/>
          <w:sz w:val="20"/>
          <w:szCs w:val="20"/>
          <w:lang w:val="en-GB"/>
        </w:rPr>
      </w:pPr>
      <w:r>
        <w:rPr>
          <w:rFonts w:ascii="Arial" w:hAnsi="Arial" w:cs="Arial"/>
          <w:sz w:val="20"/>
          <w:szCs w:val="20"/>
          <w:lang w:val="en-GB"/>
        </w:rPr>
        <w:t>Queen’s/the Practice/SUMDE(DoH) will ensure satisfactory arrangements are established to facilitate sharing of personal data between the parties, and where appropriate, shall execute agreements for the sharing of personal data, which comply with the General Data Protection Regulation (GDPR) 2018.</w:t>
      </w:r>
    </w:p>
    <w:p>
      <w:pPr>
        <w:contextualSpacing/>
        <w:rPr>
          <w:rFonts w:ascii="Arial" w:hAnsi="Arial" w:cs="Arial"/>
          <w:b/>
          <w:sz w:val="20"/>
          <w:szCs w:val="20"/>
          <w:lang w:val="en-GB"/>
        </w:rPr>
      </w:pPr>
    </w:p>
    <w:p>
      <w:pPr>
        <w:contextualSpacing/>
        <w:rPr>
          <w:rFonts w:ascii="Arial" w:hAnsi="Arial" w:cs="Arial"/>
          <w:b/>
          <w:sz w:val="20"/>
          <w:szCs w:val="20"/>
          <w:u w:val="single"/>
          <w:lang w:val="en-GB"/>
        </w:rPr>
      </w:pPr>
      <w:r>
        <w:rPr>
          <w:rFonts w:ascii="Arial" w:hAnsi="Arial" w:cs="Arial"/>
          <w:b/>
          <w:sz w:val="20"/>
          <w:szCs w:val="20"/>
          <w:u w:val="single"/>
          <w:lang w:val="en-GB"/>
        </w:rPr>
        <w:br w:type="page"/>
      </w:r>
    </w:p>
    <w:p>
      <w:pPr>
        <w:contextualSpacing/>
        <w:outlineLvl w:val="0"/>
        <w:rPr>
          <w:rFonts w:ascii="Arial" w:hAnsi="Arial" w:cs="Arial"/>
          <w:b/>
          <w:sz w:val="20"/>
          <w:szCs w:val="20"/>
          <w:u w:val="single"/>
          <w:lang w:val="en-GB"/>
        </w:rPr>
      </w:pPr>
      <w:r>
        <w:rPr>
          <w:rFonts w:ascii="Arial" w:hAnsi="Arial" w:cs="Arial"/>
          <w:b/>
          <w:sz w:val="20"/>
          <w:szCs w:val="20"/>
          <w:u w:val="single"/>
          <w:lang w:val="en-GB"/>
        </w:rPr>
        <w:t>Appendix 1</w:t>
      </w:r>
    </w:p>
    <w:p>
      <w:pPr>
        <w:contextualSpacing/>
        <w:jc w:val="center"/>
        <w:outlineLvl w:val="0"/>
        <w:rPr>
          <w:rFonts w:ascii="Arial" w:hAnsi="Arial" w:cs="Arial"/>
          <w:b/>
          <w:sz w:val="20"/>
          <w:szCs w:val="20"/>
          <w:lang w:val="en-GB"/>
        </w:rPr>
      </w:pPr>
      <w:r>
        <w:rPr>
          <w:rFonts w:ascii="Arial" w:hAnsi="Arial" w:cs="Arial"/>
          <w:b/>
          <w:sz w:val="20"/>
          <w:szCs w:val="20"/>
          <w:lang w:val="en-GB"/>
        </w:rPr>
        <w:t>Study Guides and Teaching Information</w:t>
      </w:r>
    </w:p>
    <w:p>
      <w:pPr>
        <w:contextualSpacing/>
        <w:jc w:val="both"/>
        <w:rPr>
          <w:rFonts w:ascii="Arial" w:hAnsi="Arial" w:cs="Arial"/>
          <w:sz w:val="20"/>
          <w:szCs w:val="20"/>
          <w:lang w:val="en-GB"/>
        </w:rPr>
      </w:pPr>
      <w:r>
        <w:rPr>
          <w:rFonts w:ascii="Arial" w:hAnsi="Arial" w:cs="Arial"/>
          <w:sz w:val="20"/>
          <w:szCs w:val="20"/>
          <w:lang w:val="en-GB"/>
        </w:rPr>
        <w:t>For details of Study Guides, Teaching Information or any Teaching related queries please find relevant contact details below.</w:t>
      </w:r>
    </w:p>
    <w:p>
      <w:pPr>
        <w:contextualSpacing/>
        <w:jc w:val="both"/>
        <w:rPr>
          <w:rFonts w:ascii="Arial" w:hAnsi="Arial" w:cs="Arial"/>
          <w:sz w:val="20"/>
          <w:szCs w:val="20"/>
          <w:lang w:val="en-GB"/>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7"/>
        <w:gridCol w:w="3186"/>
        <w:gridCol w:w="3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27" w:type="dxa"/>
            <w:shd w:val="clear" w:color="auto" w:fill="BFBFBF"/>
          </w:tcPr>
          <w:p>
            <w:pPr>
              <w:contextualSpacing/>
              <w:rPr>
                <w:rFonts w:ascii="Arial" w:hAnsi="Arial" w:eastAsia="Calibri" w:cs="Arial"/>
                <w:b/>
                <w:sz w:val="18"/>
                <w:szCs w:val="18"/>
              </w:rPr>
            </w:pPr>
            <w:r>
              <w:rPr>
                <w:rFonts w:ascii="Arial" w:hAnsi="Arial" w:eastAsia="Calibri" w:cs="Arial"/>
                <w:b/>
                <w:sz w:val="18"/>
                <w:szCs w:val="18"/>
              </w:rPr>
              <w:t>Type of Teaching</w:t>
            </w:r>
            <w:r>
              <w:rPr>
                <w:rFonts w:ascii="Arial" w:hAnsi="Arial" w:eastAsia="Calibri" w:cs="Arial"/>
                <w:b/>
                <w:sz w:val="18"/>
                <w:szCs w:val="18"/>
              </w:rPr>
              <w:tab/>
            </w:r>
          </w:p>
        </w:tc>
        <w:tc>
          <w:tcPr>
            <w:tcW w:w="3186" w:type="dxa"/>
            <w:shd w:val="clear" w:color="auto" w:fill="BFBFBF"/>
          </w:tcPr>
          <w:p>
            <w:pPr>
              <w:contextualSpacing/>
              <w:rPr>
                <w:rFonts w:ascii="Arial" w:hAnsi="Arial" w:eastAsia="Calibri" w:cs="Arial"/>
                <w:b/>
                <w:sz w:val="18"/>
                <w:szCs w:val="18"/>
              </w:rPr>
            </w:pPr>
            <w:r>
              <w:rPr>
                <w:rFonts w:ascii="Arial" w:hAnsi="Arial" w:eastAsia="Calibri" w:cs="Arial"/>
                <w:b/>
                <w:sz w:val="18"/>
                <w:szCs w:val="18"/>
              </w:rPr>
              <w:t>Module Coordinator</w:t>
            </w:r>
          </w:p>
        </w:tc>
        <w:tc>
          <w:tcPr>
            <w:tcW w:w="3004" w:type="dxa"/>
            <w:shd w:val="clear" w:color="auto" w:fill="BFBFBF"/>
          </w:tcPr>
          <w:p>
            <w:pPr>
              <w:contextualSpacing/>
              <w:rPr>
                <w:rFonts w:ascii="Arial" w:hAnsi="Arial" w:eastAsia="Calibri" w:cs="Arial"/>
                <w:b/>
                <w:sz w:val="18"/>
                <w:szCs w:val="18"/>
              </w:rPr>
            </w:pPr>
            <w:r>
              <w:rPr>
                <w:rFonts w:ascii="Arial" w:hAnsi="Arial" w:eastAsia="Calibri" w:cs="Arial"/>
                <w:b/>
                <w:sz w:val="18"/>
                <w:szCs w:val="18"/>
              </w:rPr>
              <w:t>Clerical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7" w:type="dxa"/>
            <w:shd w:val="clear" w:color="auto" w:fill="auto"/>
          </w:tcPr>
          <w:p>
            <w:pPr>
              <w:contextualSpacing/>
              <w:rPr>
                <w:rFonts w:ascii="Arial" w:hAnsi="Arial" w:eastAsia="Calibri" w:cs="Arial"/>
                <w:sz w:val="18"/>
                <w:szCs w:val="18"/>
                <w:lang w:val="en-GB"/>
              </w:rPr>
            </w:pPr>
            <w:r>
              <w:rPr>
                <w:rFonts w:ascii="Arial" w:hAnsi="Arial" w:eastAsia="Calibri" w:cs="Arial"/>
                <w:sz w:val="18"/>
                <w:szCs w:val="18"/>
                <w:lang w:val="en-GB"/>
              </w:rPr>
              <w:t>Year 1 Family Attachment &amp;</w:t>
            </w:r>
          </w:p>
          <w:p>
            <w:pPr>
              <w:contextualSpacing/>
              <w:rPr>
                <w:rFonts w:ascii="Arial" w:hAnsi="Arial" w:eastAsia="Calibri" w:cs="Arial"/>
                <w:sz w:val="18"/>
                <w:szCs w:val="18"/>
              </w:rPr>
            </w:pPr>
            <w:r>
              <w:rPr>
                <w:rFonts w:ascii="Arial" w:hAnsi="Arial" w:eastAsia="Calibri" w:cs="Arial"/>
                <w:sz w:val="18"/>
                <w:szCs w:val="18"/>
                <w:lang w:val="en-GB"/>
              </w:rPr>
              <w:t>Year 2 General Practice Experience</w:t>
            </w:r>
          </w:p>
        </w:tc>
        <w:tc>
          <w:tcPr>
            <w:tcW w:w="3186" w:type="dxa"/>
            <w:shd w:val="clear" w:color="auto" w:fill="auto"/>
          </w:tcPr>
          <w:p>
            <w:pPr>
              <w:contextualSpacing/>
              <w:rPr>
                <w:rFonts w:ascii="Arial" w:hAnsi="Arial" w:eastAsia="Calibri" w:cs="Arial"/>
                <w:sz w:val="18"/>
                <w:szCs w:val="18"/>
              </w:rPr>
            </w:pPr>
            <w:r>
              <w:rPr>
                <w:rFonts w:ascii="Arial" w:hAnsi="Arial" w:eastAsia="Calibri" w:cs="Arial"/>
                <w:sz w:val="18"/>
                <w:szCs w:val="18"/>
                <w:lang w:val="en-GB"/>
              </w:rPr>
              <w:t>Dr Grainne Kearney</w:t>
            </w:r>
            <w:r>
              <w:rPr>
                <w:rFonts w:ascii="Arial" w:hAnsi="Arial" w:eastAsia="Calibri" w:cs="Arial"/>
                <w:sz w:val="18"/>
                <w:szCs w:val="18"/>
                <w:lang w:val="en-GB"/>
              </w:rPr>
              <w:br w:type="textWrapping"/>
            </w:r>
            <w:r>
              <w:rPr>
                <w:rFonts w:ascii="Arial" w:hAnsi="Arial" w:eastAsia="Calibri" w:cs="Arial"/>
                <w:sz w:val="18"/>
                <w:szCs w:val="18"/>
              </w:rPr>
              <w:t>9097 5840</w:t>
            </w:r>
          </w:p>
          <w:p>
            <w:pPr>
              <w:contextualSpacing/>
              <w:rPr>
                <w:rFonts w:ascii="Arial" w:hAnsi="Arial" w:eastAsia="Calibri" w:cs="Arial"/>
                <w:sz w:val="18"/>
                <w:szCs w:val="18"/>
              </w:rPr>
            </w:pPr>
            <w:r>
              <w:fldChar w:fldCharType="begin"/>
            </w:r>
            <w:r>
              <w:instrText xml:space="preserve"> HYPERLINK "mailto:g.kearney@qub.ac.uk" </w:instrText>
            </w:r>
            <w:r>
              <w:fldChar w:fldCharType="separate"/>
            </w:r>
            <w:r>
              <w:rPr>
                <w:rStyle w:val="25"/>
                <w:rFonts w:ascii="Arial" w:hAnsi="Arial" w:eastAsia="Calibri" w:cs="Arial"/>
                <w:sz w:val="18"/>
                <w:szCs w:val="18"/>
              </w:rPr>
              <w:t>g.kearney@qub.ac.uk</w:t>
            </w:r>
            <w:r>
              <w:rPr>
                <w:rStyle w:val="25"/>
                <w:rFonts w:ascii="Arial" w:hAnsi="Arial" w:eastAsia="Calibri" w:cs="Arial"/>
                <w:sz w:val="18"/>
                <w:szCs w:val="18"/>
              </w:rPr>
              <w:fldChar w:fldCharType="end"/>
            </w:r>
            <w:r>
              <w:rPr>
                <w:rFonts w:ascii="Arial" w:hAnsi="Arial" w:eastAsia="Calibri" w:cs="Arial"/>
                <w:sz w:val="18"/>
                <w:szCs w:val="18"/>
              </w:rPr>
              <w:t xml:space="preserve"> </w:t>
            </w:r>
          </w:p>
        </w:tc>
        <w:tc>
          <w:tcPr>
            <w:tcW w:w="3004" w:type="dxa"/>
            <w:shd w:val="clear" w:color="auto" w:fill="auto"/>
          </w:tcPr>
          <w:p>
            <w:pPr>
              <w:contextualSpacing/>
              <w:rPr>
                <w:rFonts w:ascii="Arial" w:hAnsi="Arial" w:eastAsia="Calibri" w:cs="Arial"/>
                <w:sz w:val="18"/>
                <w:szCs w:val="18"/>
                <w:lang w:val="en"/>
              </w:rPr>
            </w:pPr>
            <w:r>
              <w:rPr>
                <w:rFonts w:ascii="Arial" w:hAnsi="Arial" w:eastAsia="Calibri" w:cs="Arial"/>
                <w:sz w:val="18"/>
                <w:szCs w:val="18"/>
                <w:lang w:val="en"/>
              </w:rPr>
              <w:t xml:space="preserve">Miss Cathleen Agnew </w:t>
            </w:r>
          </w:p>
          <w:p>
            <w:pPr>
              <w:contextualSpacing/>
              <w:rPr>
                <w:rFonts w:ascii="Arial" w:hAnsi="Arial" w:eastAsia="Calibri" w:cs="Arial"/>
                <w:sz w:val="18"/>
                <w:szCs w:val="18"/>
                <w:lang w:val="en"/>
              </w:rPr>
            </w:pPr>
            <w:r>
              <w:rPr>
                <w:rFonts w:ascii="Arial" w:hAnsi="Arial" w:eastAsia="Calibri" w:cs="Arial"/>
                <w:sz w:val="18"/>
                <w:szCs w:val="18"/>
                <w:lang w:val="en"/>
              </w:rPr>
              <w:t>9097 2208</w:t>
            </w:r>
          </w:p>
          <w:p>
            <w:pPr>
              <w:contextualSpacing/>
              <w:rPr>
                <w:rFonts w:ascii="Arial" w:hAnsi="Arial" w:eastAsia="Calibri" w:cs="Arial"/>
                <w:sz w:val="18"/>
                <w:szCs w:val="18"/>
              </w:rPr>
            </w:pPr>
            <w:r>
              <w:fldChar w:fldCharType="begin"/>
            </w:r>
            <w:r>
              <w:instrText xml:space="preserve"> HYPERLINK "mailto:c.agnew@qub.ac.uk" </w:instrText>
            </w:r>
            <w:r>
              <w:fldChar w:fldCharType="separate"/>
            </w:r>
            <w:r>
              <w:rPr>
                <w:rStyle w:val="25"/>
                <w:rFonts w:ascii="Arial" w:hAnsi="Arial" w:eastAsia="Calibri" w:cs="Arial"/>
                <w:sz w:val="18"/>
                <w:szCs w:val="18"/>
                <w:lang w:val="en"/>
              </w:rPr>
              <w:t>c.agnew@qub.ac.uk</w:t>
            </w:r>
            <w:r>
              <w:rPr>
                <w:rStyle w:val="25"/>
                <w:rFonts w:ascii="Arial" w:hAnsi="Arial" w:eastAsia="Calibri" w:cs="Arial"/>
                <w:sz w:val="18"/>
                <w:szCs w:val="18"/>
                <w:lang w:val="en"/>
              </w:rPr>
              <w:fldChar w:fldCharType="end"/>
            </w:r>
            <w:r>
              <w:rPr>
                <w:rFonts w:ascii="Arial" w:hAnsi="Arial" w:eastAsia="Calibri" w:cs="Arial"/>
                <w:sz w:val="18"/>
                <w:szCs w:val="18"/>
                <w:lang w:val="e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7" w:type="dxa"/>
            <w:shd w:val="clear" w:color="auto" w:fill="auto"/>
          </w:tcPr>
          <w:p>
            <w:pPr>
              <w:contextualSpacing/>
              <w:rPr>
                <w:rFonts w:ascii="Arial" w:hAnsi="Arial" w:eastAsia="Calibri" w:cs="Arial"/>
                <w:sz w:val="18"/>
                <w:szCs w:val="18"/>
                <w:lang w:val="en-GB"/>
              </w:rPr>
            </w:pPr>
            <w:r>
              <w:rPr>
                <w:rFonts w:ascii="Arial" w:hAnsi="Arial" w:eastAsia="Calibri" w:cs="Arial"/>
                <w:sz w:val="18"/>
                <w:szCs w:val="18"/>
                <w:lang w:val="en-GB"/>
              </w:rPr>
              <w:t xml:space="preserve">Year 1 &amp; 2 Medical Clinical Skills </w:t>
            </w:r>
          </w:p>
        </w:tc>
        <w:tc>
          <w:tcPr>
            <w:tcW w:w="3186" w:type="dxa"/>
            <w:shd w:val="clear" w:color="auto" w:fill="auto"/>
          </w:tcPr>
          <w:p>
            <w:pPr>
              <w:contextualSpacing/>
              <w:jc w:val="both"/>
              <w:rPr>
                <w:rFonts w:ascii="Arial" w:hAnsi="Arial" w:eastAsia="Calibri" w:cs="Arial"/>
                <w:sz w:val="18"/>
                <w:szCs w:val="18"/>
                <w:lang w:val="en-GB"/>
              </w:rPr>
            </w:pPr>
            <w:r>
              <w:rPr>
                <w:rFonts w:ascii="Arial" w:hAnsi="Arial" w:eastAsia="Calibri" w:cs="Arial"/>
                <w:sz w:val="18"/>
                <w:szCs w:val="18"/>
                <w:lang w:val="en-GB"/>
              </w:rPr>
              <w:t>Dr Diane Wilson</w:t>
            </w:r>
          </w:p>
          <w:p>
            <w:pPr>
              <w:contextualSpacing/>
              <w:jc w:val="both"/>
              <w:rPr>
                <w:rFonts w:ascii="Arial" w:hAnsi="Arial" w:eastAsia="Calibri" w:cs="Arial"/>
                <w:sz w:val="18"/>
                <w:szCs w:val="18"/>
              </w:rPr>
            </w:pPr>
            <w:r>
              <w:rPr>
                <w:rFonts w:ascii="Arial" w:hAnsi="Arial" w:eastAsia="Calibri" w:cs="Arial"/>
                <w:sz w:val="18"/>
                <w:szCs w:val="18"/>
              </w:rPr>
              <w:t>9097 2739</w:t>
            </w:r>
          </w:p>
          <w:p>
            <w:pPr>
              <w:contextualSpacing/>
              <w:jc w:val="both"/>
              <w:rPr>
                <w:rFonts w:ascii="Arial" w:hAnsi="Arial" w:eastAsia="Calibri" w:cs="Arial"/>
                <w:sz w:val="18"/>
                <w:szCs w:val="18"/>
                <w:lang w:val="en-GB"/>
              </w:rPr>
            </w:pPr>
            <w:r>
              <w:fldChar w:fldCharType="begin"/>
            </w:r>
            <w:r>
              <w:instrText xml:space="preserve"> HYPERLINK "mailto:csec-secretary@qub.ac.uk" </w:instrText>
            </w:r>
            <w:r>
              <w:fldChar w:fldCharType="separate"/>
            </w:r>
            <w:r>
              <w:rPr>
                <w:rStyle w:val="25"/>
                <w:rFonts w:ascii="Arial" w:hAnsi="Arial" w:eastAsia="Calibri" w:cs="Arial"/>
                <w:sz w:val="18"/>
                <w:szCs w:val="18"/>
                <w:lang w:val="en-GB"/>
              </w:rPr>
              <w:t>csec-secretary@qub.ac.uk</w:t>
            </w:r>
            <w:r>
              <w:rPr>
                <w:rStyle w:val="25"/>
                <w:rFonts w:ascii="Arial" w:hAnsi="Arial" w:eastAsia="Calibri" w:cs="Arial"/>
                <w:sz w:val="18"/>
                <w:szCs w:val="18"/>
                <w:lang w:val="en-GB"/>
              </w:rPr>
              <w:fldChar w:fldCharType="end"/>
            </w:r>
          </w:p>
        </w:tc>
        <w:tc>
          <w:tcPr>
            <w:tcW w:w="3004" w:type="dxa"/>
            <w:shd w:val="clear" w:color="auto" w:fill="auto"/>
          </w:tcPr>
          <w:p>
            <w:pPr>
              <w:rPr>
                <w:color w:val="0563C1"/>
                <w:sz w:val="22"/>
                <w:szCs w:val="22"/>
                <w:u w:val="single"/>
                <w:lang w:val="en-GB"/>
              </w:rPr>
            </w:pPr>
            <w:r>
              <w:rPr>
                <w:rFonts w:ascii="Arial" w:hAnsi="Arial" w:cs="Arial"/>
                <w:sz w:val="18"/>
                <w:szCs w:val="18"/>
              </w:rPr>
              <w:t>Mrs Christina McQuillan</w:t>
            </w:r>
            <w:r>
              <w:rPr>
                <w:rFonts w:ascii="Arial" w:hAnsi="Arial" w:cs="Arial"/>
                <w:sz w:val="18"/>
                <w:szCs w:val="18"/>
              </w:rPr>
              <w:br w:type="textWrapping"/>
            </w:r>
            <w:r>
              <w:rPr>
                <w:rFonts w:ascii="Arial" w:hAnsi="Arial" w:cs="Arial"/>
                <w:sz w:val="18"/>
                <w:szCs w:val="18"/>
              </w:rPr>
              <w:t>9097 2435</w:t>
            </w:r>
            <w:r>
              <w:rPr>
                <w:rFonts w:ascii="Arial" w:hAnsi="Arial" w:cs="Arial"/>
                <w:sz w:val="18"/>
                <w:szCs w:val="18"/>
              </w:rPr>
              <w:br w:type="textWrapping"/>
            </w:r>
            <w:r>
              <w:fldChar w:fldCharType="begin"/>
            </w:r>
            <w:r>
              <w:instrText xml:space="preserve"> HYPERLINK "mailto:c.mcquillan@qub.ac.uk" </w:instrText>
            </w:r>
            <w:r>
              <w:fldChar w:fldCharType="separate"/>
            </w:r>
            <w:r>
              <w:rPr>
                <w:rStyle w:val="25"/>
                <w:rFonts w:ascii="Arial" w:hAnsi="Arial" w:cs="Arial"/>
                <w:sz w:val="18"/>
                <w:szCs w:val="18"/>
              </w:rPr>
              <w:t>c.mcquillan@qub.ac.uk</w:t>
            </w:r>
            <w:r>
              <w:rPr>
                <w:rStyle w:val="25"/>
                <w:rFonts w:ascii="Arial" w:hAnsi="Arial" w:cs="Arial"/>
                <w:sz w:val="18"/>
                <w:szCs w:val="18"/>
              </w:rPr>
              <w:fldChar w:fldCharType="end"/>
            </w:r>
          </w:p>
          <w:p>
            <w:pPr>
              <w:contextualSpacing/>
              <w:rPr>
                <w:rFonts w:ascii="Arial" w:hAnsi="Arial" w:eastAsia="Calibri"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7" w:type="dxa"/>
            <w:shd w:val="clear" w:color="auto" w:fill="auto"/>
          </w:tcPr>
          <w:p>
            <w:pPr>
              <w:contextualSpacing/>
              <w:rPr>
                <w:rFonts w:ascii="Arial" w:hAnsi="Arial" w:eastAsia="Calibri" w:cs="Arial"/>
                <w:sz w:val="18"/>
                <w:szCs w:val="18"/>
              </w:rPr>
            </w:pPr>
            <w:r>
              <w:rPr>
                <w:rFonts w:ascii="Arial" w:hAnsi="Arial" w:eastAsia="Calibri" w:cs="Arial"/>
                <w:sz w:val="18"/>
                <w:szCs w:val="18"/>
                <w:lang w:val="en-GB"/>
              </w:rPr>
              <w:t>Year 2 &amp; 3 Student Selected Components (SSCs)</w:t>
            </w:r>
          </w:p>
        </w:tc>
        <w:tc>
          <w:tcPr>
            <w:tcW w:w="3186" w:type="dxa"/>
            <w:shd w:val="clear" w:color="auto" w:fill="auto"/>
          </w:tcPr>
          <w:p>
            <w:pPr>
              <w:contextualSpacing/>
              <w:jc w:val="both"/>
              <w:rPr>
                <w:rFonts w:ascii="Arial" w:hAnsi="Arial" w:eastAsia="Calibri" w:cs="Arial"/>
                <w:sz w:val="18"/>
                <w:szCs w:val="18"/>
                <w:lang w:val="en-GB"/>
              </w:rPr>
            </w:pPr>
            <w:r>
              <w:rPr>
                <w:rFonts w:ascii="Arial" w:hAnsi="Arial" w:eastAsia="Calibri" w:cs="Arial"/>
                <w:sz w:val="18"/>
                <w:szCs w:val="18"/>
                <w:lang w:val="en-GB"/>
              </w:rPr>
              <w:t>Dr Vivienne Crawford</w:t>
            </w:r>
          </w:p>
          <w:p>
            <w:pPr>
              <w:contextualSpacing/>
              <w:jc w:val="both"/>
              <w:rPr>
                <w:rFonts w:ascii="Arial" w:hAnsi="Arial" w:eastAsia="Calibri" w:cs="Arial"/>
                <w:sz w:val="18"/>
                <w:szCs w:val="18"/>
                <w:lang w:val="en-GB"/>
              </w:rPr>
            </w:pPr>
            <w:r>
              <w:rPr>
                <w:rFonts w:ascii="Arial" w:hAnsi="Arial" w:eastAsia="Calibri" w:cs="Arial"/>
                <w:sz w:val="18"/>
                <w:szCs w:val="18"/>
                <w:lang w:val="en-GB"/>
              </w:rPr>
              <w:t>9097 2160</w:t>
            </w:r>
          </w:p>
          <w:p>
            <w:pPr>
              <w:contextualSpacing/>
              <w:jc w:val="both"/>
              <w:rPr>
                <w:rFonts w:ascii="Arial" w:hAnsi="Arial" w:eastAsia="Calibri" w:cs="Arial"/>
                <w:sz w:val="18"/>
                <w:szCs w:val="18"/>
                <w:lang w:val="en-GB"/>
              </w:rPr>
            </w:pPr>
            <w:r>
              <w:fldChar w:fldCharType="begin"/>
            </w:r>
            <w:r>
              <w:instrText xml:space="preserve"> HYPERLINK "mailto:v.crawford@qub.ac.uk" </w:instrText>
            </w:r>
            <w:r>
              <w:fldChar w:fldCharType="separate"/>
            </w:r>
            <w:r>
              <w:rPr>
                <w:rStyle w:val="25"/>
                <w:rFonts w:ascii="Arial" w:hAnsi="Arial" w:eastAsia="Calibri" w:cs="Arial"/>
                <w:sz w:val="18"/>
                <w:szCs w:val="18"/>
                <w:lang w:val="en-GB"/>
              </w:rPr>
              <w:t>v.crawford@qub.ac.uk</w:t>
            </w:r>
            <w:r>
              <w:rPr>
                <w:rStyle w:val="25"/>
                <w:rFonts w:ascii="Arial" w:hAnsi="Arial" w:eastAsia="Calibri" w:cs="Arial"/>
                <w:sz w:val="18"/>
                <w:szCs w:val="18"/>
                <w:lang w:val="en-GB"/>
              </w:rPr>
              <w:fldChar w:fldCharType="end"/>
            </w:r>
          </w:p>
        </w:tc>
        <w:tc>
          <w:tcPr>
            <w:tcW w:w="3004" w:type="dxa"/>
            <w:shd w:val="clear" w:color="auto" w:fill="auto"/>
          </w:tcPr>
          <w:p>
            <w:pPr>
              <w:contextualSpacing/>
              <w:rPr>
                <w:rFonts w:ascii="Arial" w:hAnsi="Arial" w:eastAsia="Calibri" w:cs="Arial"/>
                <w:sz w:val="18"/>
                <w:szCs w:val="18"/>
              </w:rPr>
            </w:pPr>
            <w:r>
              <w:rPr>
                <w:rFonts w:ascii="Arial" w:hAnsi="Arial" w:eastAsia="Calibri" w:cs="Arial"/>
                <w:sz w:val="18"/>
                <w:szCs w:val="18"/>
              </w:rPr>
              <w:t>Mrs Frances Price</w:t>
            </w:r>
          </w:p>
          <w:p>
            <w:pPr>
              <w:contextualSpacing/>
              <w:rPr>
                <w:rFonts w:ascii="Arial" w:hAnsi="Arial" w:eastAsia="Calibri" w:cs="Arial"/>
                <w:sz w:val="18"/>
                <w:szCs w:val="18"/>
              </w:rPr>
            </w:pPr>
            <w:r>
              <w:rPr>
                <w:rFonts w:ascii="Arial" w:hAnsi="Arial" w:eastAsia="Calibri" w:cs="Arial"/>
                <w:sz w:val="18"/>
                <w:szCs w:val="18"/>
              </w:rPr>
              <w:t>9097 5770</w:t>
            </w:r>
          </w:p>
          <w:p>
            <w:pPr>
              <w:contextualSpacing/>
              <w:rPr>
                <w:rFonts w:ascii="Arial" w:hAnsi="Arial" w:eastAsia="Calibri" w:cs="Arial"/>
                <w:sz w:val="18"/>
                <w:szCs w:val="18"/>
              </w:rPr>
            </w:pPr>
            <w:r>
              <w:fldChar w:fldCharType="begin"/>
            </w:r>
            <w:r>
              <w:instrText xml:space="preserve"> HYPERLINK "mailto:f.price@qub.ac.uk" </w:instrText>
            </w:r>
            <w:r>
              <w:fldChar w:fldCharType="separate"/>
            </w:r>
            <w:r>
              <w:rPr>
                <w:rStyle w:val="25"/>
                <w:rFonts w:ascii="Arial" w:hAnsi="Arial" w:eastAsia="Calibri" w:cs="Arial"/>
                <w:sz w:val="18"/>
                <w:szCs w:val="18"/>
              </w:rPr>
              <w:t>f.price@qub.ac.uk</w:t>
            </w:r>
            <w:r>
              <w:rPr>
                <w:rStyle w:val="25"/>
                <w:rFonts w:ascii="Arial" w:hAnsi="Arial" w:eastAsia="Calibri" w:cs="Arial"/>
                <w:sz w:val="18"/>
                <w:szCs w:val="18"/>
              </w:rPr>
              <w:fldChar w:fldCharType="end"/>
            </w:r>
            <w:r>
              <w:rPr>
                <w:rFonts w:ascii="Arial" w:hAnsi="Arial" w:eastAsia="Calibri" w:cs="Arial"/>
                <w:sz w:val="18"/>
                <w:szCs w:val="18"/>
              </w:rPr>
              <w:t xml:space="preserve"> </w:t>
            </w:r>
          </w:p>
          <w:p>
            <w:pPr>
              <w:contextualSpacing/>
              <w:rPr>
                <w:rFonts w:ascii="Arial" w:hAnsi="Arial" w:eastAsia="Calibri"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7" w:type="dxa"/>
            <w:shd w:val="clear" w:color="auto" w:fill="auto"/>
          </w:tcPr>
          <w:p>
            <w:pPr>
              <w:contextualSpacing/>
              <w:rPr>
                <w:rFonts w:ascii="Arial" w:hAnsi="Arial" w:eastAsia="Calibri" w:cs="Arial"/>
                <w:sz w:val="18"/>
                <w:szCs w:val="18"/>
              </w:rPr>
            </w:pPr>
            <w:r>
              <w:rPr>
                <w:rFonts w:ascii="Arial" w:hAnsi="Arial" w:eastAsia="Calibri" w:cs="Arial"/>
                <w:sz w:val="18"/>
                <w:szCs w:val="18"/>
                <w:lang w:val="en-GB"/>
              </w:rPr>
              <w:t>Year 4 General Practice Attachment</w:t>
            </w:r>
          </w:p>
        </w:tc>
        <w:tc>
          <w:tcPr>
            <w:tcW w:w="3186" w:type="dxa"/>
            <w:shd w:val="clear" w:color="auto" w:fill="auto"/>
          </w:tcPr>
          <w:p>
            <w:pPr>
              <w:contextualSpacing/>
              <w:jc w:val="both"/>
              <w:rPr>
                <w:rFonts w:ascii="Arial" w:hAnsi="Arial" w:eastAsia="Calibri" w:cs="Arial"/>
                <w:sz w:val="18"/>
                <w:szCs w:val="18"/>
                <w:lang w:val="en-GB"/>
              </w:rPr>
            </w:pPr>
            <w:r>
              <w:rPr>
                <w:rFonts w:ascii="Arial" w:hAnsi="Arial" w:eastAsia="Calibri" w:cs="Arial"/>
                <w:sz w:val="18"/>
                <w:szCs w:val="18"/>
                <w:lang w:val="en-GB"/>
              </w:rPr>
              <w:t>Dr Helen Reid</w:t>
            </w:r>
          </w:p>
          <w:p>
            <w:pPr>
              <w:contextualSpacing/>
              <w:jc w:val="both"/>
              <w:rPr>
                <w:rFonts w:ascii="Arial" w:hAnsi="Arial" w:eastAsia="Calibri" w:cs="Arial"/>
                <w:sz w:val="18"/>
                <w:szCs w:val="18"/>
                <w:lang w:val="en-GB"/>
              </w:rPr>
            </w:pPr>
            <w:r>
              <w:fldChar w:fldCharType="begin"/>
            </w:r>
            <w:r>
              <w:instrText xml:space="preserve"> HYPERLINK "mailto:Helen.reid@qub.ac.uk" </w:instrText>
            </w:r>
            <w:r>
              <w:fldChar w:fldCharType="separate"/>
            </w:r>
            <w:r>
              <w:rPr>
                <w:rStyle w:val="25"/>
                <w:rFonts w:ascii="Arial" w:hAnsi="Arial" w:eastAsia="Calibri" w:cs="Arial"/>
                <w:sz w:val="18"/>
                <w:szCs w:val="18"/>
                <w:lang w:val="en-GB"/>
              </w:rPr>
              <w:t>Helen.reid@qub.ac.uk</w:t>
            </w:r>
            <w:r>
              <w:rPr>
                <w:rStyle w:val="25"/>
                <w:rFonts w:ascii="Arial" w:hAnsi="Arial" w:eastAsia="Calibri" w:cs="Arial"/>
                <w:sz w:val="18"/>
                <w:szCs w:val="18"/>
                <w:lang w:val="en-GB"/>
              </w:rPr>
              <w:fldChar w:fldCharType="end"/>
            </w:r>
          </w:p>
          <w:p>
            <w:pPr>
              <w:contextualSpacing/>
              <w:jc w:val="both"/>
              <w:rPr>
                <w:rFonts w:ascii="Arial" w:hAnsi="Arial" w:eastAsia="Calibri" w:cs="Arial"/>
                <w:sz w:val="18"/>
                <w:szCs w:val="18"/>
              </w:rPr>
            </w:pPr>
          </w:p>
          <w:p>
            <w:pPr>
              <w:contextualSpacing/>
              <w:rPr>
                <w:rFonts w:ascii="Arial" w:hAnsi="Arial" w:eastAsia="Calibri" w:cs="Arial"/>
                <w:sz w:val="18"/>
                <w:szCs w:val="18"/>
              </w:rPr>
            </w:pPr>
            <w:r>
              <w:rPr>
                <w:rFonts w:ascii="Arial" w:hAnsi="Arial" w:eastAsia="Calibri" w:cs="Arial"/>
                <w:sz w:val="18"/>
                <w:szCs w:val="18"/>
              </w:rPr>
              <w:t xml:space="preserve"> </w:t>
            </w:r>
          </w:p>
        </w:tc>
        <w:tc>
          <w:tcPr>
            <w:tcW w:w="3004" w:type="dxa"/>
            <w:shd w:val="clear" w:color="auto" w:fill="auto"/>
          </w:tcPr>
          <w:p>
            <w:pPr>
              <w:contextualSpacing/>
              <w:rPr>
                <w:rFonts w:ascii="Arial" w:hAnsi="Arial" w:cs="Arial"/>
                <w:sz w:val="18"/>
                <w:szCs w:val="18"/>
              </w:rPr>
            </w:pPr>
            <w:r>
              <w:rPr>
                <w:rFonts w:ascii="Arial" w:hAnsi="Arial" w:eastAsia="Calibri" w:cs="Arial"/>
                <w:sz w:val="18"/>
                <w:szCs w:val="18"/>
              </w:rPr>
              <w:t>Ms Cathleen Agnew</w:t>
            </w:r>
            <w:r>
              <w:rPr>
                <w:rFonts w:ascii="Arial" w:hAnsi="Arial" w:eastAsia="Calibri" w:cs="Arial"/>
                <w:sz w:val="18"/>
                <w:szCs w:val="18"/>
              </w:rPr>
              <w:br w:type="textWrapping"/>
            </w:r>
            <w:r>
              <w:rPr>
                <w:rFonts w:ascii="Arial" w:hAnsi="Arial" w:eastAsia="Calibri" w:cs="Arial"/>
                <w:sz w:val="18"/>
                <w:szCs w:val="18"/>
              </w:rPr>
              <w:t>9097 2208</w:t>
            </w:r>
            <w:r>
              <w:rPr>
                <w:rFonts w:ascii="Arial" w:hAnsi="Arial" w:eastAsia="Calibri" w:cs="Arial"/>
                <w:sz w:val="18"/>
                <w:szCs w:val="18"/>
              </w:rPr>
              <w:br w:type="textWrapping"/>
            </w:r>
            <w:r>
              <w:fldChar w:fldCharType="begin"/>
            </w:r>
            <w:r>
              <w:instrText xml:space="preserve"> HYPERLINK "mailto:c.agnew@qub.ac.uk" </w:instrText>
            </w:r>
            <w:r>
              <w:fldChar w:fldCharType="separate"/>
            </w:r>
            <w:r>
              <w:rPr>
                <w:rStyle w:val="25"/>
                <w:rFonts w:ascii="Arial" w:hAnsi="Arial" w:cs="Arial"/>
                <w:sz w:val="18"/>
                <w:szCs w:val="18"/>
              </w:rPr>
              <w:t>c.agnew@qub.ac.uk</w:t>
            </w:r>
            <w:r>
              <w:rPr>
                <w:rStyle w:val="25"/>
                <w:rFonts w:ascii="Arial" w:hAnsi="Arial" w:cs="Arial"/>
                <w:sz w:val="18"/>
                <w:szCs w:val="18"/>
              </w:rPr>
              <w:fldChar w:fldCharType="end"/>
            </w:r>
          </w:p>
          <w:p>
            <w:pPr>
              <w:contextualSpacing/>
              <w:rPr>
                <w:rFonts w:ascii="Arial" w:hAnsi="Arial" w:eastAsia="Calibri"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7" w:type="dxa"/>
            <w:shd w:val="clear" w:color="auto" w:fill="auto"/>
          </w:tcPr>
          <w:p>
            <w:pPr>
              <w:pStyle w:val="12"/>
              <w:tabs>
                <w:tab w:val="clear" w:pos="567"/>
              </w:tabs>
              <w:contextualSpacing/>
              <w:rPr>
                <w:rFonts w:ascii="Arial" w:hAnsi="Arial" w:eastAsia="Calibri" w:cs="Arial"/>
                <w:sz w:val="18"/>
                <w:szCs w:val="18"/>
              </w:rPr>
            </w:pPr>
            <w:r>
              <w:rPr>
                <w:rFonts w:ascii="Arial" w:hAnsi="Arial" w:eastAsia="Calibri" w:cs="Arial"/>
                <w:sz w:val="18"/>
                <w:szCs w:val="18"/>
              </w:rPr>
              <w:t>Year 4 Video Surgery Teaching in Primary Healthcare (CCTV)</w:t>
            </w:r>
          </w:p>
          <w:p>
            <w:pPr>
              <w:contextualSpacing/>
              <w:rPr>
                <w:rFonts w:ascii="Arial" w:hAnsi="Arial" w:eastAsia="Calibri" w:cs="Arial"/>
                <w:sz w:val="18"/>
                <w:szCs w:val="18"/>
              </w:rPr>
            </w:pPr>
          </w:p>
        </w:tc>
        <w:tc>
          <w:tcPr>
            <w:tcW w:w="3186" w:type="dxa"/>
            <w:shd w:val="clear" w:color="auto" w:fill="auto"/>
          </w:tcPr>
          <w:p>
            <w:pPr>
              <w:contextualSpacing/>
              <w:rPr>
                <w:rFonts w:ascii="Arial" w:hAnsi="Arial" w:eastAsia="Calibri" w:cs="Arial"/>
                <w:sz w:val="18"/>
                <w:szCs w:val="18"/>
                <w:lang w:val="en-GB"/>
              </w:rPr>
            </w:pPr>
            <w:r>
              <w:rPr>
                <w:rFonts w:ascii="Arial" w:hAnsi="Arial" w:eastAsia="Calibri" w:cs="Arial"/>
                <w:sz w:val="18"/>
                <w:szCs w:val="18"/>
                <w:lang w:val="en-GB"/>
              </w:rPr>
              <w:t>Dr Carla Devlin</w:t>
            </w:r>
          </w:p>
          <w:p>
            <w:pPr>
              <w:contextualSpacing/>
              <w:rPr>
                <w:rFonts w:ascii="Arial" w:hAnsi="Arial" w:eastAsia="Calibri" w:cs="Arial"/>
                <w:sz w:val="18"/>
                <w:szCs w:val="18"/>
                <w:lang w:val="en-GB"/>
              </w:rPr>
            </w:pPr>
            <w:r>
              <w:fldChar w:fldCharType="begin"/>
            </w:r>
            <w:r>
              <w:instrText xml:space="preserve"> HYPERLINK "mailto:Carla.devlin@qub.ac.uk" </w:instrText>
            </w:r>
            <w:r>
              <w:fldChar w:fldCharType="separate"/>
            </w:r>
            <w:r>
              <w:rPr>
                <w:rStyle w:val="25"/>
                <w:rFonts w:ascii="Arial" w:hAnsi="Arial" w:eastAsia="Calibri" w:cs="Arial"/>
                <w:sz w:val="18"/>
                <w:szCs w:val="18"/>
                <w:lang w:val="en-GB"/>
              </w:rPr>
              <w:t>Carla.devlin@qub.ac.uk</w:t>
            </w:r>
            <w:r>
              <w:rPr>
                <w:rStyle w:val="25"/>
                <w:rFonts w:ascii="Arial" w:hAnsi="Arial" w:eastAsia="Calibri" w:cs="Arial"/>
                <w:sz w:val="18"/>
                <w:szCs w:val="18"/>
                <w:lang w:val="en-GB"/>
              </w:rPr>
              <w:fldChar w:fldCharType="end"/>
            </w:r>
          </w:p>
          <w:p>
            <w:pPr>
              <w:contextualSpacing/>
              <w:rPr>
                <w:rFonts w:ascii="Arial" w:hAnsi="Arial" w:eastAsia="Calibri" w:cs="Arial"/>
                <w:sz w:val="18"/>
                <w:szCs w:val="18"/>
              </w:rPr>
            </w:pPr>
          </w:p>
          <w:p>
            <w:pPr>
              <w:contextualSpacing/>
              <w:jc w:val="both"/>
              <w:rPr>
                <w:rFonts w:ascii="Arial" w:hAnsi="Arial" w:eastAsia="Calibri" w:cs="Arial"/>
                <w:sz w:val="18"/>
                <w:szCs w:val="18"/>
                <w:lang w:val="en-GB"/>
              </w:rPr>
            </w:pPr>
          </w:p>
        </w:tc>
        <w:tc>
          <w:tcPr>
            <w:tcW w:w="3004" w:type="dxa"/>
            <w:shd w:val="clear" w:color="auto" w:fill="auto"/>
          </w:tcPr>
          <w:p>
            <w:pPr>
              <w:contextualSpacing/>
              <w:rPr>
                <w:rFonts w:ascii="Arial" w:hAnsi="Arial" w:cs="Arial"/>
                <w:sz w:val="18"/>
                <w:szCs w:val="18"/>
              </w:rPr>
            </w:pPr>
            <w:r>
              <w:rPr>
                <w:rFonts w:ascii="Arial" w:hAnsi="Arial" w:eastAsia="Calibri" w:cs="Arial"/>
                <w:sz w:val="18"/>
                <w:szCs w:val="18"/>
              </w:rPr>
              <w:t>Ms Cathleen Agnew</w:t>
            </w:r>
            <w:r>
              <w:rPr>
                <w:rFonts w:ascii="Arial" w:hAnsi="Arial" w:eastAsia="Calibri" w:cs="Arial"/>
                <w:sz w:val="18"/>
                <w:szCs w:val="18"/>
              </w:rPr>
              <w:br w:type="textWrapping"/>
            </w:r>
            <w:r>
              <w:rPr>
                <w:rFonts w:ascii="Arial" w:hAnsi="Arial" w:eastAsia="Calibri" w:cs="Arial"/>
                <w:sz w:val="18"/>
                <w:szCs w:val="18"/>
              </w:rPr>
              <w:t>9097 2208</w:t>
            </w:r>
            <w:r>
              <w:rPr>
                <w:rFonts w:ascii="Arial" w:hAnsi="Arial" w:eastAsia="Calibri" w:cs="Arial"/>
                <w:sz w:val="18"/>
                <w:szCs w:val="18"/>
              </w:rPr>
              <w:br w:type="textWrapping"/>
            </w:r>
            <w:r>
              <w:fldChar w:fldCharType="begin"/>
            </w:r>
            <w:r>
              <w:instrText xml:space="preserve"> HYPERLINK "mailto:c.agnew@qub.ac.uk" </w:instrText>
            </w:r>
            <w:r>
              <w:fldChar w:fldCharType="separate"/>
            </w:r>
            <w:r>
              <w:rPr>
                <w:rStyle w:val="25"/>
                <w:rFonts w:ascii="Arial" w:hAnsi="Arial" w:cs="Arial"/>
                <w:sz w:val="18"/>
                <w:szCs w:val="18"/>
              </w:rPr>
              <w:t>c.agnew@qub.ac.uk</w:t>
            </w:r>
            <w:r>
              <w:rPr>
                <w:rStyle w:val="25"/>
                <w:rFonts w:ascii="Arial" w:hAnsi="Arial" w:cs="Arial"/>
                <w:sz w:val="18"/>
                <w:szCs w:val="18"/>
              </w:rPr>
              <w:fldChar w:fldCharType="end"/>
            </w:r>
          </w:p>
          <w:p>
            <w:pPr>
              <w:contextualSpacing/>
              <w:rPr>
                <w:rFonts w:ascii="Arial" w:hAnsi="Arial" w:eastAsia="Calibri"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7" w:type="dxa"/>
            <w:shd w:val="clear" w:color="auto" w:fill="auto"/>
          </w:tcPr>
          <w:p>
            <w:pPr>
              <w:contextualSpacing/>
              <w:rPr>
                <w:rFonts w:ascii="Arial" w:hAnsi="Arial" w:eastAsia="Calibri" w:cs="Arial"/>
                <w:sz w:val="18"/>
                <w:szCs w:val="18"/>
              </w:rPr>
            </w:pPr>
            <w:r>
              <w:rPr>
                <w:rFonts w:ascii="Arial" w:hAnsi="Arial" w:eastAsia="Calibri" w:cs="Arial"/>
                <w:sz w:val="18"/>
                <w:szCs w:val="18"/>
                <w:lang w:val="en-GB"/>
              </w:rPr>
              <w:t>Year 5 General Practice Attachment</w:t>
            </w:r>
          </w:p>
        </w:tc>
        <w:tc>
          <w:tcPr>
            <w:tcW w:w="3186" w:type="dxa"/>
            <w:shd w:val="clear" w:color="auto" w:fill="auto"/>
          </w:tcPr>
          <w:p>
            <w:pPr>
              <w:contextualSpacing/>
              <w:jc w:val="both"/>
              <w:rPr>
                <w:rFonts w:ascii="Arial" w:hAnsi="Arial" w:eastAsia="Calibri" w:cs="Arial"/>
                <w:sz w:val="18"/>
                <w:szCs w:val="18"/>
                <w:lang w:val="en-GB"/>
              </w:rPr>
            </w:pPr>
            <w:r>
              <w:rPr>
                <w:rFonts w:ascii="Arial" w:hAnsi="Arial" w:eastAsia="Calibri" w:cs="Arial"/>
                <w:sz w:val="18"/>
                <w:szCs w:val="18"/>
                <w:lang w:val="en-GB"/>
              </w:rPr>
              <w:t>Dr Finbar McGrady</w:t>
            </w:r>
          </w:p>
          <w:p>
            <w:pPr>
              <w:contextualSpacing/>
              <w:rPr>
                <w:rFonts w:ascii="Arial" w:hAnsi="Arial" w:eastAsia="Calibri" w:cs="Arial"/>
                <w:sz w:val="18"/>
                <w:szCs w:val="18"/>
              </w:rPr>
            </w:pPr>
            <w:r>
              <w:rPr>
                <w:rFonts w:ascii="Arial" w:hAnsi="Arial" w:eastAsia="Calibri" w:cs="Arial"/>
                <w:sz w:val="18"/>
                <w:szCs w:val="18"/>
              </w:rPr>
              <w:t>9020 2100</w:t>
            </w:r>
          </w:p>
          <w:p>
            <w:pPr>
              <w:contextualSpacing/>
              <w:rPr>
                <w:rFonts w:ascii="Arial" w:hAnsi="Arial" w:cs="Arial"/>
                <w:color w:val="0000FF"/>
                <w:sz w:val="18"/>
                <w:szCs w:val="18"/>
                <w:u w:val="single"/>
              </w:rPr>
            </w:pPr>
            <w:r>
              <w:fldChar w:fldCharType="begin"/>
            </w:r>
            <w:r>
              <w:instrText xml:space="preserve"> HYPERLINK "mailto:f.mcgrady@qub.ac.uk" </w:instrText>
            </w:r>
            <w:r>
              <w:fldChar w:fldCharType="separate"/>
            </w:r>
            <w:r>
              <w:rPr>
                <w:rFonts w:ascii="Arial" w:hAnsi="Arial" w:cs="Arial"/>
                <w:color w:val="0000FF"/>
                <w:sz w:val="18"/>
                <w:szCs w:val="18"/>
                <w:u w:val="single"/>
              </w:rPr>
              <w:t>f.mcgrady@qub.ac.uk</w:t>
            </w:r>
            <w:r>
              <w:rPr>
                <w:rFonts w:ascii="Arial" w:hAnsi="Arial" w:cs="Arial"/>
                <w:color w:val="0000FF"/>
                <w:sz w:val="18"/>
                <w:szCs w:val="18"/>
                <w:u w:val="single"/>
              </w:rPr>
              <w:fldChar w:fldCharType="end"/>
            </w:r>
          </w:p>
          <w:p>
            <w:pPr>
              <w:contextualSpacing/>
              <w:rPr>
                <w:rFonts w:ascii="Arial" w:hAnsi="Arial" w:eastAsia="Calibri" w:cs="Arial"/>
                <w:sz w:val="18"/>
                <w:szCs w:val="18"/>
              </w:rPr>
            </w:pPr>
          </w:p>
        </w:tc>
        <w:tc>
          <w:tcPr>
            <w:tcW w:w="3004" w:type="dxa"/>
            <w:shd w:val="clear" w:color="auto" w:fill="auto"/>
          </w:tcPr>
          <w:p>
            <w:pPr>
              <w:jc w:val="both"/>
              <w:rPr>
                <w:rFonts w:ascii="Arial" w:hAnsi="Arial" w:cs="Arial"/>
                <w:sz w:val="18"/>
                <w:szCs w:val="18"/>
              </w:rPr>
            </w:pPr>
            <w:r>
              <w:rPr>
                <w:rFonts w:ascii="Arial" w:hAnsi="Arial" w:cs="Arial"/>
                <w:sz w:val="18"/>
                <w:szCs w:val="18"/>
              </w:rPr>
              <w:t>Mrs Eveline Burns</w:t>
            </w:r>
          </w:p>
          <w:p>
            <w:pPr>
              <w:jc w:val="both"/>
              <w:rPr>
                <w:rFonts w:ascii="Arial" w:hAnsi="Arial" w:cs="Arial"/>
                <w:color w:val="333333"/>
                <w:sz w:val="18"/>
                <w:szCs w:val="18"/>
                <w:lang w:val="en-GB"/>
              </w:rPr>
            </w:pPr>
            <w:r>
              <w:rPr>
                <w:rFonts w:ascii="Arial" w:hAnsi="Arial" w:cs="Arial"/>
                <w:color w:val="333333"/>
                <w:sz w:val="18"/>
                <w:szCs w:val="18"/>
              </w:rPr>
              <w:t>9097 6404</w:t>
            </w:r>
          </w:p>
          <w:p>
            <w:pPr>
              <w:contextualSpacing/>
              <w:rPr>
                <w:rFonts w:ascii="Arial" w:hAnsi="Arial" w:eastAsia="Calibri" w:cs="Arial"/>
                <w:sz w:val="18"/>
                <w:szCs w:val="18"/>
              </w:rPr>
            </w:pPr>
            <w:r>
              <w:fldChar w:fldCharType="begin"/>
            </w:r>
            <w:r>
              <w:instrText xml:space="preserve"> HYPERLINK "mailto:e.burns@qub.ac.uk" </w:instrText>
            </w:r>
            <w:r>
              <w:fldChar w:fldCharType="separate"/>
            </w:r>
            <w:r>
              <w:rPr>
                <w:rStyle w:val="25"/>
                <w:rFonts w:ascii="Arial" w:hAnsi="Arial" w:cs="Arial"/>
                <w:sz w:val="18"/>
                <w:szCs w:val="18"/>
              </w:rPr>
              <w:t>e.burns@qub.ac.uk</w:t>
            </w:r>
            <w:r>
              <w:rPr>
                <w:rStyle w:val="25"/>
                <w:rFonts w:ascii="Arial" w:hAnsi="Arial" w:cs="Arial"/>
                <w:sz w:val="18"/>
                <w:szCs w:val="1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7" w:type="dxa"/>
            <w:shd w:val="clear" w:color="auto" w:fill="auto"/>
          </w:tcPr>
          <w:p>
            <w:pPr>
              <w:contextualSpacing/>
              <w:rPr>
                <w:rFonts w:ascii="Arial" w:hAnsi="Arial" w:eastAsia="Calibri" w:cs="Arial"/>
                <w:sz w:val="18"/>
                <w:szCs w:val="18"/>
              </w:rPr>
            </w:pPr>
            <w:r>
              <w:rPr>
                <w:rFonts w:ascii="Arial" w:hAnsi="Arial" w:eastAsia="Calibri" w:cs="Arial"/>
                <w:sz w:val="18"/>
                <w:szCs w:val="18"/>
                <w:lang w:val="en-GB"/>
              </w:rPr>
              <w:t>Year 5 General Practice Assistantship Attachment</w:t>
            </w:r>
          </w:p>
        </w:tc>
        <w:tc>
          <w:tcPr>
            <w:tcW w:w="3186" w:type="dxa"/>
            <w:shd w:val="clear" w:color="auto" w:fill="auto"/>
          </w:tcPr>
          <w:p>
            <w:pPr>
              <w:contextualSpacing/>
              <w:jc w:val="both"/>
              <w:rPr>
                <w:rFonts w:ascii="Arial" w:hAnsi="Arial" w:eastAsia="Calibri" w:cs="Arial"/>
                <w:sz w:val="18"/>
                <w:szCs w:val="18"/>
                <w:lang w:val="en-GB"/>
              </w:rPr>
            </w:pPr>
            <w:r>
              <w:rPr>
                <w:rFonts w:ascii="Arial" w:hAnsi="Arial" w:eastAsia="Calibri" w:cs="Arial"/>
                <w:sz w:val="18"/>
                <w:szCs w:val="18"/>
                <w:lang w:val="en-GB"/>
              </w:rPr>
              <w:t>Dr Nigel Hart</w:t>
            </w:r>
          </w:p>
          <w:p>
            <w:pPr>
              <w:contextualSpacing/>
              <w:jc w:val="both"/>
              <w:rPr>
                <w:rFonts w:ascii="Arial" w:hAnsi="Arial" w:eastAsia="Calibri" w:cs="Arial"/>
                <w:sz w:val="18"/>
                <w:szCs w:val="18"/>
                <w:lang w:val="en-GB"/>
              </w:rPr>
            </w:pPr>
            <w:r>
              <w:rPr>
                <w:rFonts w:ascii="Arial" w:hAnsi="Arial" w:eastAsia="Calibri" w:cs="Arial"/>
                <w:sz w:val="18"/>
                <w:szCs w:val="18"/>
                <w:lang w:val="en-GB"/>
              </w:rPr>
              <w:t>028 9097 6057</w:t>
            </w:r>
          </w:p>
          <w:p>
            <w:pPr>
              <w:contextualSpacing/>
              <w:jc w:val="both"/>
              <w:rPr>
                <w:rFonts w:ascii="Arial" w:hAnsi="Arial" w:eastAsia="Calibri" w:cs="Arial"/>
                <w:sz w:val="18"/>
                <w:szCs w:val="18"/>
                <w:lang w:val="en-GB"/>
              </w:rPr>
            </w:pPr>
            <w:r>
              <w:fldChar w:fldCharType="begin"/>
            </w:r>
            <w:r>
              <w:instrText xml:space="preserve"> HYPERLINK "mailto:n.hart@qub.ac.uk" </w:instrText>
            </w:r>
            <w:r>
              <w:fldChar w:fldCharType="separate"/>
            </w:r>
            <w:r>
              <w:rPr>
                <w:rStyle w:val="25"/>
                <w:rFonts w:ascii="Arial" w:hAnsi="Arial" w:eastAsia="Calibri" w:cs="Arial"/>
                <w:sz w:val="18"/>
                <w:szCs w:val="18"/>
                <w:lang w:val="en-GB"/>
              </w:rPr>
              <w:t>n.hart@qub.ac.uk</w:t>
            </w:r>
            <w:r>
              <w:rPr>
                <w:rStyle w:val="25"/>
                <w:rFonts w:ascii="Arial" w:hAnsi="Arial" w:eastAsia="Calibri" w:cs="Arial"/>
                <w:sz w:val="18"/>
                <w:szCs w:val="18"/>
                <w:lang w:val="en-GB"/>
              </w:rPr>
              <w:fldChar w:fldCharType="end"/>
            </w:r>
            <w:r>
              <w:rPr>
                <w:rFonts w:ascii="Arial" w:hAnsi="Arial" w:eastAsia="Calibri" w:cs="Arial"/>
                <w:sz w:val="18"/>
                <w:szCs w:val="18"/>
                <w:lang w:val="en-GB"/>
              </w:rPr>
              <w:t xml:space="preserve"> </w:t>
            </w:r>
          </w:p>
          <w:p>
            <w:pPr>
              <w:contextualSpacing/>
              <w:jc w:val="both"/>
              <w:rPr>
                <w:rFonts w:ascii="Arial" w:hAnsi="Arial" w:eastAsia="Calibri" w:cs="Arial"/>
                <w:sz w:val="18"/>
                <w:szCs w:val="18"/>
                <w:lang w:val="en-GB"/>
              </w:rPr>
            </w:pPr>
          </w:p>
        </w:tc>
        <w:tc>
          <w:tcPr>
            <w:tcW w:w="3004" w:type="dxa"/>
            <w:shd w:val="clear" w:color="auto" w:fill="auto"/>
          </w:tcPr>
          <w:p>
            <w:pPr>
              <w:contextualSpacing/>
              <w:jc w:val="both"/>
              <w:rPr>
                <w:rFonts w:ascii="Arial" w:hAnsi="Arial" w:eastAsia="Calibri" w:cs="Arial"/>
                <w:sz w:val="18"/>
                <w:szCs w:val="18"/>
              </w:rPr>
            </w:pPr>
            <w:r>
              <w:rPr>
                <w:rFonts w:ascii="Arial" w:hAnsi="Arial" w:eastAsia="Calibri" w:cs="Arial"/>
                <w:sz w:val="18"/>
                <w:szCs w:val="18"/>
              </w:rPr>
              <w:t>Mrs Eveline Burns</w:t>
            </w:r>
          </w:p>
          <w:p>
            <w:pPr>
              <w:contextualSpacing/>
              <w:jc w:val="both"/>
              <w:rPr>
                <w:rFonts w:ascii="Arial" w:hAnsi="Arial" w:eastAsia="Calibri" w:cs="Arial"/>
                <w:color w:val="333333"/>
                <w:sz w:val="18"/>
                <w:szCs w:val="18"/>
              </w:rPr>
            </w:pPr>
            <w:r>
              <w:rPr>
                <w:rFonts w:ascii="Arial" w:hAnsi="Arial" w:eastAsia="Calibri" w:cs="Arial"/>
                <w:color w:val="333333"/>
                <w:sz w:val="18"/>
                <w:szCs w:val="18"/>
              </w:rPr>
              <w:t>9097 6404</w:t>
            </w:r>
          </w:p>
          <w:p>
            <w:pPr>
              <w:contextualSpacing/>
              <w:jc w:val="both"/>
              <w:rPr>
                <w:rFonts w:ascii="Arial" w:hAnsi="Arial" w:eastAsia="Calibri" w:cs="Arial"/>
                <w:color w:val="333333"/>
                <w:sz w:val="18"/>
                <w:szCs w:val="18"/>
              </w:rPr>
            </w:pPr>
            <w:r>
              <w:fldChar w:fldCharType="begin"/>
            </w:r>
            <w:r>
              <w:instrText xml:space="preserve"> HYPERLINK "mailto:e.burns@qub.ac.uk" </w:instrText>
            </w:r>
            <w:r>
              <w:fldChar w:fldCharType="separate"/>
            </w:r>
            <w:r>
              <w:rPr>
                <w:rStyle w:val="25"/>
                <w:rFonts w:ascii="Arial" w:hAnsi="Arial" w:eastAsia="Calibri" w:cs="Arial"/>
                <w:sz w:val="18"/>
                <w:szCs w:val="18"/>
              </w:rPr>
              <w:t>e.burns@qub.ac.uk</w:t>
            </w:r>
            <w:r>
              <w:rPr>
                <w:rStyle w:val="25"/>
                <w:rFonts w:ascii="Arial" w:hAnsi="Arial" w:eastAsia="Calibri" w:cs="Arial"/>
                <w:sz w:val="18"/>
                <w:szCs w:val="18"/>
              </w:rPr>
              <w:fldChar w:fldCharType="end"/>
            </w:r>
            <w:r>
              <w:rPr>
                <w:rFonts w:ascii="Arial" w:hAnsi="Arial" w:eastAsia="Calibri" w:cs="Arial"/>
                <w:color w:val="333333"/>
                <w:sz w:val="18"/>
                <w:szCs w:val="18"/>
              </w:rPr>
              <w:t xml:space="preserve"> </w:t>
            </w:r>
          </w:p>
        </w:tc>
      </w:tr>
    </w:tbl>
    <w:p>
      <w:pPr>
        <w:contextualSpacing/>
        <w:rPr>
          <w:rFonts w:ascii="Arial" w:hAnsi="Arial" w:cs="Arial"/>
          <w:sz w:val="20"/>
          <w:szCs w:val="20"/>
        </w:rPr>
      </w:pPr>
    </w:p>
    <w:tbl>
      <w:tblPr>
        <w:tblStyle w:val="28"/>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0"/>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4390" w:type="dxa"/>
            <w:shd w:val="clear" w:color="auto" w:fill="BFBFBF"/>
          </w:tcPr>
          <w:p>
            <w:pPr>
              <w:contextualSpacing/>
              <w:rPr>
                <w:rFonts w:ascii="Arial" w:hAnsi="Arial" w:cs="Arial"/>
                <w:b/>
                <w:sz w:val="18"/>
                <w:szCs w:val="18"/>
                <w:lang w:val="en-GB"/>
              </w:rPr>
            </w:pPr>
            <w:r>
              <w:rPr>
                <w:rFonts w:ascii="Arial" w:hAnsi="Arial" w:cs="Arial"/>
                <w:b/>
                <w:sz w:val="18"/>
                <w:szCs w:val="18"/>
                <w:lang w:val="en-GB"/>
              </w:rPr>
              <w:t>Addresses</w:t>
            </w:r>
          </w:p>
        </w:tc>
        <w:tc>
          <w:tcPr>
            <w:tcW w:w="4677" w:type="dxa"/>
            <w:tcBorders>
              <w:bottom w:val="single" w:color="auto" w:sz="4" w:space="0"/>
            </w:tcBorders>
            <w:shd w:val="clear" w:color="auto" w:fill="BFBFBF"/>
          </w:tcPr>
          <w:p>
            <w:pPr>
              <w:contextualSpacing/>
              <w:jc w:val="both"/>
              <w:rPr>
                <w:rFonts w:ascii="Arial" w:hAnsi="Arial" w:cs="Arial"/>
                <w:b/>
                <w:sz w:val="18"/>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90" w:type="dxa"/>
            <w:tcBorders>
              <w:bottom w:val="single" w:color="auto" w:sz="4" w:space="0"/>
            </w:tcBorders>
          </w:tcPr>
          <w:p>
            <w:pPr>
              <w:contextualSpacing/>
              <w:rPr>
                <w:rFonts w:ascii="Arial" w:hAnsi="Arial" w:cs="Arial"/>
                <w:b/>
                <w:sz w:val="18"/>
                <w:szCs w:val="18"/>
                <w:lang w:val="en"/>
              </w:rPr>
            </w:pPr>
            <w:r>
              <w:rPr>
                <w:rFonts w:ascii="Arial" w:hAnsi="Arial" w:cs="Arial"/>
                <w:b/>
                <w:sz w:val="18"/>
                <w:szCs w:val="18"/>
                <w:lang w:val="en"/>
              </w:rPr>
              <w:t>Centre for Medical Education</w:t>
            </w:r>
          </w:p>
          <w:p>
            <w:pPr>
              <w:contextualSpacing/>
              <w:rPr>
                <w:rFonts w:ascii="Arial" w:hAnsi="Arial" w:cs="Arial"/>
                <w:sz w:val="18"/>
                <w:szCs w:val="18"/>
                <w:lang w:val="en"/>
              </w:rPr>
            </w:pPr>
            <w:r>
              <w:rPr>
                <w:rFonts w:ascii="Arial" w:hAnsi="Arial" w:cs="Arial"/>
                <w:sz w:val="18"/>
                <w:szCs w:val="18"/>
                <w:lang w:val="en"/>
              </w:rPr>
              <w:t>Queen’s University Belfast</w:t>
            </w:r>
          </w:p>
          <w:p>
            <w:pPr>
              <w:contextualSpacing/>
              <w:rPr>
                <w:rFonts w:ascii="Arial" w:hAnsi="Arial" w:cs="Arial"/>
                <w:sz w:val="18"/>
                <w:szCs w:val="18"/>
                <w:lang w:val="en"/>
              </w:rPr>
            </w:pPr>
            <w:r>
              <w:rPr>
                <w:rFonts w:ascii="Arial" w:hAnsi="Arial" w:cs="Arial"/>
                <w:sz w:val="18"/>
                <w:szCs w:val="18"/>
                <w:lang w:val="en"/>
              </w:rPr>
              <w:t>Whitla Medical Building</w:t>
            </w:r>
            <w:r>
              <w:rPr>
                <w:rFonts w:ascii="Arial" w:hAnsi="Arial" w:cs="Arial"/>
                <w:sz w:val="18"/>
                <w:szCs w:val="18"/>
                <w:lang w:val="en"/>
              </w:rPr>
              <w:br w:type="textWrapping"/>
            </w:r>
            <w:r>
              <w:rPr>
                <w:rFonts w:ascii="Arial" w:hAnsi="Arial" w:cs="Arial"/>
                <w:sz w:val="18"/>
                <w:szCs w:val="18"/>
                <w:lang w:val="en"/>
              </w:rPr>
              <w:t>97 Lisburn Road</w:t>
            </w:r>
            <w:r>
              <w:rPr>
                <w:rFonts w:ascii="Arial" w:hAnsi="Arial" w:cs="Arial"/>
                <w:sz w:val="18"/>
                <w:szCs w:val="18"/>
                <w:lang w:val="en"/>
              </w:rPr>
              <w:br w:type="textWrapping"/>
            </w:r>
            <w:r>
              <w:rPr>
                <w:rFonts w:ascii="Arial" w:hAnsi="Arial" w:cs="Arial"/>
                <w:sz w:val="18"/>
                <w:szCs w:val="18"/>
                <w:lang w:val="en"/>
              </w:rPr>
              <w:t>BELFAST,  BT9 7BL</w:t>
            </w:r>
            <w:r>
              <w:rPr>
                <w:rFonts w:ascii="Arial" w:hAnsi="Arial" w:cs="Arial"/>
                <w:sz w:val="18"/>
                <w:szCs w:val="18"/>
                <w:lang w:val="en"/>
              </w:rPr>
              <w:br w:type="textWrapping"/>
            </w:r>
          </w:p>
          <w:p>
            <w:pPr>
              <w:contextualSpacing/>
              <w:rPr>
                <w:rFonts w:ascii="Arial" w:hAnsi="Arial" w:cs="Arial"/>
                <w:sz w:val="18"/>
                <w:szCs w:val="18"/>
                <w:lang w:val="en"/>
              </w:rPr>
            </w:pPr>
            <w:r>
              <w:rPr>
                <w:rFonts w:ascii="Arial" w:hAnsi="Arial" w:cs="Arial"/>
                <w:sz w:val="18"/>
                <w:szCs w:val="18"/>
                <w:lang w:val="en"/>
              </w:rPr>
              <w:t>Tel No:   028 9097 2450</w:t>
            </w:r>
            <w:r>
              <w:rPr>
                <w:rFonts w:ascii="Arial" w:hAnsi="Arial" w:cs="Arial"/>
                <w:sz w:val="18"/>
                <w:szCs w:val="18"/>
                <w:lang w:val="en"/>
              </w:rPr>
              <w:br w:type="textWrapping"/>
            </w:r>
            <w:r>
              <w:rPr>
                <w:rFonts w:ascii="Arial" w:hAnsi="Arial" w:cs="Arial"/>
                <w:sz w:val="18"/>
                <w:szCs w:val="18"/>
                <w:lang w:val="en-GB"/>
              </w:rPr>
              <w:t xml:space="preserve">Email:    </w:t>
            </w:r>
            <w:r>
              <w:fldChar w:fldCharType="begin"/>
            </w:r>
            <w:r>
              <w:instrText xml:space="preserve"> HYPERLINK "mailto:medicaled@qub.ac.uk" </w:instrText>
            </w:r>
            <w:r>
              <w:fldChar w:fldCharType="separate"/>
            </w:r>
            <w:r>
              <w:rPr>
                <w:rStyle w:val="25"/>
                <w:rFonts w:ascii="Arial" w:hAnsi="Arial" w:cs="Arial"/>
                <w:sz w:val="18"/>
                <w:szCs w:val="18"/>
                <w:lang w:val="en-GB"/>
              </w:rPr>
              <w:t>medicaled@qub.ac.uk</w:t>
            </w:r>
            <w:r>
              <w:rPr>
                <w:rStyle w:val="25"/>
                <w:rFonts w:ascii="Arial" w:hAnsi="Arial" w:cs="Arial"/>
                <w:sz w:val="18"/>
                <w:szCs w:val="18"/>
                <w:lang w:val="en-GB"/>
              </w:rPr>
              <w:fldChar w:fldCharType="end"/>
            </w:r>
          </w:p>
          <w:p>
            <w:pPr>
              <w:contextualSpacing/>
              <w:rPr>
                <w:rFonts w:ascii="Arial" w:hAnsi="Arial" w:cs="Arial"/>
                <w:b/>
                <w:sz w:val="18"/>
                <w:szCs w:val="18"/>
                <w:lang w:val="en-GB"/>
              </w:rPr>
            </w:pPr>
          </w:p>
        </w:tc>
        <w:tc>
          <w:tcPr>
            <w:tcW w:w="4677" w:type="dxa"/>
            <w:tcBorders>
              <w:bottom w:val="single" w:color="auto" w:sz="4" w:space="0"/>
            </w:tcBorders>
          </w:tcPr>
          <w:p>
            <w:pPr>
              <w:contextualSpacing/>
              <w:jc w:val="both"/>
              <w:rPr>
                <w:rFonts w:ascii="Arial" w:hAnsi="Arial" w:cs="Arial"/>
                <w:b/>
                <w:sz w:val="18"/>
                <w:szCs w:val="18"/>
                <w:lang w:val="en-GB"/>
              </w:rPr>
            </w:pPr>
            <w:r>
              <w:rPr>
                <w:rFonts w:ascii="Arial" w:hAnsi="Arial" w:cs="Arial"/>
                <w:b/>
                <w:sz w:val="18"/>
                <w:szCs w:val="18"/>
                <w:lang w:val="en-GB"/>
              </w:rPr>
              <w:t>Clinical Skills Education Centre (CSEC)</w:t>
            </w:r>
          </w:p>
          <w:p>
            <w:pPr>
              <w:contextualSpacing/>
              <w:jc w:val="both"/>
              <w:rPr>
                <w:rFonts w:ascii="Arial" w:hAnsi="Arial" w:cs="Arial"/>
                <w:sz w:val="18"/>
                <w:szCs w:val="18"/>
                <w:lang w:val="en-GB"/>
              </w:rPr>
            </w:pPr>
            <w:r>
              <w:rPr>
                <w:rFonts w:ascii="Arial" w:hAnsi="Arial" w:cs="Arial"/>
                <w:sz w:val="18"/>
                <w:szCs w:val="18"/>
                <w:lang w:val="en-GB"/>
              </w:rPr>
              <w:t>Queen’s University Belfast</w:t>
            </w:r>
          </w:p>
          <w:p>
            <w:pPr>
              <w:contextualSpacing/>
              <w:jc w:val="both"/>
              <w:rPr>
                <w:rFonts w:ascii="Arial" w:hAnsi="Arial" w:cs="Arial"/>
                <w:sz w:val="18"/>
                <w:szCs w:val="18"/>
                <w:lang w:val="en-GB"/>
              </w:rPr>
            </w:pPr>
            <w:r>
              <w:rPr>
                <w:rFonts w:ascii="Arial" w:hAnsi="Arial" w:cs="Arial"/>
                <w:sz w:val="18"/>
                <w:szCs w:val="18"/>
                <w:lang w:val="en-GB"/>
              </w:rPr>
              <w:t>2</w:t>
            </w:r>
            <w:r>
              <w:rPr>
                <w:rFonts w:ascii="Arial" w:hAnsi="Arial" w:cs="Arial"/>
                <w:sz w:val="18"/>
                <w:szCs w:val="18"/>
                <w:vertAlign w:val="superscript"/>
                <w:lang w:val="en-GB"/>
              </w:rPr>
              <w:t>nd</w:t>
            </w:r>
            <w:r>
              <w:rPr>
                <w:rFonts w:ascii="Arial" w:hAnsi="Arial" w:cs="Arial"/>
                <w:sz w:val="18"/>
                <w:szCs w:val="18"/>
                <w:lang w:val="en-GB"/>
              </w:rPr>
              <w:t xml:space="preserve"> Floor, Medical Biology Centre</w:t>
            </w:r>
          </w:p>
          <w:p>
            <w:pPr>
              <w:contextualSpacing/>
              <w:jc w:val="both"/>
              <w:rPr>
                <w:rFonts w:ascii="Arial" w:hAnsi="Arial" w:cs="Arial"/>
                <w:sz w:val="18"/>
                <w:szCs w:val="18"/>
                <w:lang w:val="en-GB"/>
              </w:rPr>
            </w:pPr>
            <w:r>
              <w:rPr>
                <w:rFonts w:ascii="Arial" w:hAnsi="Arial" w:cs="Arial"/>
                <w:sz w:val="18"/>
                <w:szCs w:val="18"/>
                <w:lang w:val="en-GB"/>
              </w:rPr>
              <w:t>97 Lisburn Road</w:t>
            </w:r>
          </w:p>
          <w:p>
            <w:pPr>
              <w:contextualSpacing/>
              <w:jc w:val="both"/>
              <w:rPr>
                <w:rFonts w:ascii="Arial" w:hAnsi="Arial" w:cs="Arial"/>
                <w:sz w:val="18"/>
                <w:szCs w:val="18"/>
                <w:lang w:val="en-GB"/>
              </w:rPr>
            </w:pPr>
            <w:r>
              <w:rPr>
                <w:rFonts w:ascii="Arial" w:hAnsi="Arial" w:cs="Arial"/>
                <w:sz w:val="18"/>
                <w:szCs w:val="18"/>
                <w:lang w:val="en-GB"/>
              </w:rPr>
              <w:t>BELFAST, BT9 7BL</w:t>
            </w:r>
          </w:p>
          <w:p>
            <w:pPr>
              <w:contextualSpacing/>
              <w:rPr>
                <w:rFonts w:ascii="Arial" w:hAnsi="Arial" w:cs="Arial"/>
                <w:sz w:val="18"/>
                <w:szCs w:val="18"/>
                <w:lang w:val="en-GB"/>
              </w:rPr>
            </w:pPr>
          </w:p>
          <w:p>
            <w:pPr>
              <w:contextualSpacing/>
              <w:rPr>
                <w:rFonts w:ascii="Arial" w:hAnsi="Arial" w:cs="Arial"/>
                <w:sz w:val="18"/>
                <w:szCs w:val="18"/>
                <w:lang w:val="en-GB"/>
              </w:rPr>
            </w:pPr>
            <w:r>
              <w:rPr>
                <w:rFonts w:ascii="Arial" w:hAnsi="Arial" w:cs="Arial"/>
                <w:sz w:val="18"/>
                <w:szCs w:val="18"/>
                <w:lang w:val="en-GB"/>
              </w:rPr>
              <w:t>Tel No:</w:t>
            </w:r>
            <w:r>
              <w:rPr>
                <w:rFonts w:ascii="Arial" w:hAnsi="Arial" w:cs="Arial"/>
                <w:sz w:val="18"/>
                <w:szCs w:val="18"/>
                <w:lang w:val="en-GB"/>
              </w:rPr>
              <w:tab/>
            </w:r>
            <w:r>
              <w:rPr>
                <w:rFonts w:ascii="Arial" w:hAnsi="Arial" w:cs="Arial"/>
                <w:sz w:val="18"/>
                <w:szCs w:val="18"/>
                <w:lang w:val="en-GB"/>
              </w:rPr>
              <w:t xml:space="preserve">  028 9097 2736</w:t>
            </w:r>
          </w:p>
          <w:p>
            <w:pPr>
              <w:contextualSpacing/>
              <w:jc w:val="both"/>
              <w:rPr>
                <w:rFonts w:ascii="Arial" w:hAnsi="Arial" w:cs="Arial"/>
                <w:b/>
                <w:sz w:val="18"/>
                <w:szCs w:val="18"/>
                <w:lang w:val="en-GB"/>
              </w:rPr>
            </w:pPr>
            <w:r>
              <w:rPr>
                <w:rFonts w:ascii="Arial" w:hAnsi="Arial" w:cs="Arial"/>
                <w:sz w:val="18"/>
                <w:szCs w:val="18"/>
              </w:rPr>
              <w:t>Email:</w:t>
            </w:r>
            <w:r>
              <w:rPr>
                <w:rFonts w:ascii="Arial" w:hAnsi="Arial" w:cs="Arial"/>
                <w:color w:val="1F497D"/>
                <w:sz w:val="18"/>
                <w:szCs w:val="18"/>
              </w:rPr>
              <w:t xml:space="preserve">       </w:t>
            </w:r>
            <w:r>
              <w:fldChar w:fldCharType="begin"/>
            </w:r>
            <w:r>
              <w:instrText xml:space="preserve"> HYPERLINK "mailto:CSEC-Secretary@qub.ac.uk" </w:instrText>
            </w:r>
            <w:r>
              <w:fldChar w:fldCharType="separate"/>
            </w:r>
            <w:r>
              <w:rPr>
                <w:rStyle w:val="25"/>
                <w:rFonts w:ascii="Arial" w:hAnsi="Arial" w:eastAsia="Calibri" w:cs="Arial"/>
                <w:sz w:val="18"/>
                <w:szCs w:val="18"/>
                <w:lang w:val="en-GB"/>
              </w:rPr>
              <w:t>csec-secretary@qub.ac.uk</w:t>
            </w:r>
            <w:r>
              <w:rPr>
                <w:rStyle w:val="25"/>
                <w:rFonts w:ascii="Arial" w:hAnsi="Arial" w:eastAsia="Calibri" w:cs="Arial"/>
                <w:sz w:val="18"/>
                <w:szCs w:val="18"/>
                <w:lang w:val="en-GB"/>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90" w:type="dxa"/>
            <w:tcBorders>
              <w:right w:val="single" w:color="auto" w:sz="4" w:space="0"/>
            </w:tcBorders>
          </w:tcPr>
          <w:p>
            <w:pPr>
              <w:contextualSpacing/>
              <w:jc w:val="both"/>
              <w:rPr>
                <w:rFonts w:ascii="Arial" w:hAnsi="Arial" w:cs="Arial"/>
                <w:b/>
                <w:sz w:val="18"/>
                <w:szCs w:val="18"/>
                <w:lang w:val="en-GB"/>
              </w:rPr>
            </w:pPr>
            <w:r>
              <w:rPr>
                <w:rFonts w:ascii="Arial" w:hAnsi="Arial" w:cs="Arial"/>
                <w:b/>
                <w:sz w:val="18"/>
                <w:szCs w:val="18"/>
                <w:lang w:val="en-GB"/>
              </w:rPr>
              <w:t>SUMDE Office</w:t>
            </w:r>
          </w:p>
          <w:p>
            <w:pPr>
              <w:contextualSpacing/>
              <w:jc w:val="both"/>
              <w:rPr>
                <w:rFonts w:ascii="Arial" w:hAnsi="Arial" w:cs="Arial"/>
                <w:sz w:val="18"/>
                <w:szCs w:val="18"/>
                <w:lang w:val="en-GB"/>
              </w:rPr>
            </w:pPr>
            <w:r>
              <w:rPr>
                <w:rFonts w:ascii="Arial" w:hAnsi="Arial" w:cs="Arial"/>
                <w:sz w:val="18"/>
                <w:szCs w:val="18"/>
                <w:lang w:val="en-GB"/>
              </w:rPr>
              <w:t>Queen’s University Belfast</w:t>
            </w:r>
          </w:p>
          <w:p>
            <w:pPr>
              <w:contextualSpacing/>
              <w:jc w:val="both"/>
              <w:rPr>
                <w:rFonts w:ascii="Arial" w:hAnsi="Arial" w:cs="Arial"/>
                <w:sz w:val="18"/>
                <w:szCs w:val="18"/>
                <w:lang w:val="en-GB"/>
              </w:rPr>
            </w:pPr>
            <w:r>
              <w:rPr>
                <w:rFonts w:ascii="Arial" w:hAnsi="Arial" w:cs="Arial"/>
                <w:sz w:val="18"/>
                <w:szCs w:val="18"/>
                <w:lang w:val="en-GB"/>
              </w:rPr>
              <w:t>Room G052 Whitla Medical Building</w:t>
            </w:r>
          </w:p>
          <w:p>
            <w:pPr>
              <w:contextualSpacing/>
              <w:jc w:val="both"/>
              <w:rPr>
                <w:rFonts w:ascii="Arial" w:hAnsi="Arial" w:cs="Arial"/>
                <w:sz w:val="18"/>
                <w:szCs w:val="18"/>
                <w:lang w:val="en-GB"/>
              </w:rPr>
            </w:pPr>
            <w:r>
              <w:rPr>
                <w:rFonts w:ascii="Arial" w:hAnsi="Arial" w:cs="Arial"/>
                <w:sz w:val="18"/>
                <w:szCs w:val="18"/>
                <w:lang w:val="en-GB"/>
              </w:rPr>
              <w:t>97 Lisburn Road</w:t>
            </w:r>
          </w:p>
          <w:p>
            <w:pPr>
              <w:contextualSpacing/>
              <w:jc w:val="both"/>
              <w:rPr>
                <w:rFonts w:ascii="Arial" w:hAnsi="Arial" w:cs="Arial"/>
                <w:sz w:val="18"/>
                <w:szCs w:val="18"/>
                <w:lang w:val="en-GB"/>
              </w:rPr>
            </w:pPr>
            <w:r>
              <w:rPr>
                <w:rFonts w:ascii="Arial" w:hAnsi="Arial" w:cs="Arial"/>
                <w:sz w:val="18"/>
                <w:szCs w:val="18"/>
                <w:lang w:val="en-GB"/>
              </w:rPr>
              <w:t>BELFAST, BT9 7BL</w:t>
            </w:r>
          </w:p>
          <w:p>
            <w:pPr>
              <w:contextualSpacing/>
              <w:jc w:val="both"/>
              <w:rPr>
                <w:rFonts w:ascii="Arial" w:hAnsi="Arial" w:cs="Arial"/>
                <w:sz w:val="18"/>
                <w:szCs w:val="18"/>
                <w:lang w:val="en-GB"/>
              </w:rPr>
            </w:pPr>
          </w:p>
          <w:p>
            <w:pPr>
              <w:contextualSpacing/>
              <w:jc w:val="both"/>
              <w:rPr>
                <w:rFonts w:ascii="Arial" w:hAnsi="Arial" w:cs="Arial"/>
                <w:sz w:val="18"/>
                <w:szCs w:val="18"/>
                <w:lang w:val="en-GB"/>
              </w:rPr>
            </w:pPr>
            <w:r>
              <w:rPr>
                <w:rFonts w:ascii="Arial" w:hAnsi="Arial" w:cs="Arial"/>
                <w:sz w:val="18"/>
                <w:szCs w:val="18"/>
                <w:lang w:val="en-GB"/>
              </w:rPr>
              <w:t>Tel No:   028 9097 2318</w:t>
            </w:r>
          </w:p>
          <w:p>
            <w:pPr>
              <w:contextualSpacing/>
              <w:jc w:val="both"/>
              <w:rPr>
                <w:rFonts w:ascii="Arial" w:hAnsi="Arial" w:cs="Arial"/>
                <w:color w:val="1F497D"/>
                <w:sz w:val="18"/>
                <w:szCs w:val="18"/>
              </w:rPr>
            </w:pPr>
            <w:r>
              <w:rPr>
                <w:rFonts w:ascii="Arial" w:hAnsi="Arial" w:cs="Arial"/>
                <w:sz w:val="18"/>
                <w:szCs w:val="18"/>
                <w:lang w:val="en-GB"/>
              </w:rPr>
              <w:t xml:space="preserve">Email:     </w:t>
            </w:r>
            <w:r>
              <w:fldChar w:fldCharType="begin"/>
            </w:r>
            <w:r>
              <w:instrText xml:space="preserve"> HYPERLINK "mailto:sumde@qub.ac.uk" </w:instrText>
            </w:r>
            <w:r>
              <w:fldChar w:fldCharType="separate"/>
            </w:r>
            <w:r>
              <w:rPr>
                <w:rStyle w:val="25"/>
                <w:rFonts w:ascii="Arial" w:hAnsi="Arial" w:cs="Arial"/>
                <w:sz w:val="18"/>
                <w:szCs w:val="18"/>
                <w:lang w:val="en-GB"/>
              </w:rPr>
              <w:t>sumde@qub.ac.uk</w:t>
            </w:r>
            <w:r>
              <w:rPr>
                <w:rStyle w:val="25"/>
                <w:rFonts w:ascii="Arial" w:hAnsi="Arial" w:cs="Arial"/>
                <w:sz w:val="18"/>
                <w:szCs w:val="18"/>
                <w:lang w:val="en-GB"/>
              </w:rPr>
              <w:fldChar w:fldCharType="end"/>
            </w:r>
            <w:r>
              <w:rPr>
                <w:rFonts w:ascii="Arial" w:hAnsi="Arial" w:cs="Arial"/>
                <w:b/>
                <w:sz w:val="18"/>
                <w:szCs w:val="18"/>
                <w:lang w:val="en-GB"/>
              </w:rPr>
              <w:t xml:space="preserve"> </w:t>
            </w:r>
          </w:p>
          <w:p>
            <w:pPr>
              <w:contextualSpacing/>
              <w:rPr>
                <w:rFonts w:ascii="Arial" w:hAnsi="Arial" w:cs="Arial"/>
                <w:sz w:val="18"/>
                <w:szCs w:val="18"/>
                <w:lang w:val="en-GB"/>
              </w:rPr>
            </w:pPr>
          </w:p>
        </w:tc>
        <w:tc>
          <w:tcPr>
            <w:tcW w:w="4677" w:type="dxa"/>
            <w:tcBorders>
              <w:top w:val="single" w:color="auto" w:sz="4" w:space="0"/>
              <w:left w:val="single" w:color="auto" w:sz="4" w:space="0"/>
              <w:bottom w:val="nil"/>
              <w:right w:val="nil"/>
            </w:tcBorders>
          </w:tcPr>
          <w:p>
            <w:pPr>
              <w:contextualSpacing/>
              <w:jc w:val="both"/>
              <w:rPr>
                <w:rFonts w:ascii="Arial" w:hAnsi="Arial" w:cs="Arial"/>
                <w:sz w:val="18"/>
                <w:szCs w:val="18"/>
                <w:lang w:val="en-GB"/>
              </w:rPr>
            </w:pPr>
          </w:p>
        </w:tc>
      </w:tr>
    </w:tbl>
    <w:p>
      <w:pPr>
        <w:contextualSpacing/>
        <w:rPr>
          <w:rFonts w:ascii="Arial" w:hAnsi="Arial" w:cs="Arial"/>
          <w:b/>
          <w:sz w:val="20"/>
          <w:szCs w:val="20"/>
          <w:u w:val="single"/>
          <w:lang w:val="en-GB"/>
        </w:rPr>
      </w:pPr>
      <w:r>
        <w:rPr>
          <w:rFonts w:ascii="Arial" w:hAnsi="Arial" w:cs="Arial"/>
          <w:b/>
          <w:sz w:val="20"/>
          <w:szCs w:val="20"/>
          <w:u w:val="single"/>
          <w:lang w:val="en-GB"/>
        </w:rPr>
        <w:br w:type="page"/>
      </w:r>
      <w:r>
        <w:rPr>
          <w:rFonts w:ascii="Arial" w:hAnsi="Arial" w:cs="Arial"/>
          <w:b/>
          <w:sz w:val="20"/>
          <w:szCs w:val="20"/>
          <w:u w:val="single"/>
          <w:lang w:val="en-GB"/>
        </w:rPr>
        <w:t>Appendix 2</w:t>
      </w:r>
    </w:p>
    <w:p>
      <w:pPr>
        <w:tabs>
          <w:tab w:val="left" w:pos="567"/>
          <w:tab w:val="left" w:pos="1134"/>
        </w:tabs>
        <w:contextualSpacing/>
        <w:jc w:val="center"/>
        <w:outlineLvl w:val="0"/>
        <w:rPr>
          <w:rFonts w:ascii="Arial" w:hAnsi="Arial" w:cs="Arial"/>
          <w:b/>
          <w:sz w:val="20"/>
          <w:szCs w:val="20"/>
          <w:lang w:val="en-GB"/>
        </w:rPr>
      </w:pPr>
    </w:p>
    <w:p>
      <w:pPr>
        <w:tabs>
          <w:tab w:val="left" w:pos="567"/>
          <w:tab w:val="left" w:pos="1134"/>
        </w:tabs>
        <w:contextualSpacing/>
        <w:jc w:val="center"/>
        <w:outlineLvl w:val="0"/>
        <w:rPr>
          <w:rFonts w:ascii="Arial" w:hAnsi="Arial" w:cs="Arial"/>
          <w:b/>
          <w:sz w:val="20"/>
          <w:szCs w:val="20"/>
          <w:lang w:val="en-GB"/>
        </w:rPr>
      </w:pPr>
      <w:r>
        <w:rPr>
          <w:rFonts w:ascii="Arial" w:hAnsi="Arial" w:cs="Arial"/>
          <w:b/>
          <w:sz w:val="20"/>
          <w:szCs w:val="20"/>
          <w:lang w:val="en-GB"/>
        </w:rPr>
        <w:t>Good Teaching Practice Guidelines</w:t>
      </w:r>
    </w:p>
    <w:p>
      <w:pPr>
        <w:tabs>
          <w:tab w:val="left" w:pos="567"/>
          <w:tab w:val="left" w:pos="1134"/>
        </w:tabs>
        <w:contextualSpacing/>
        <w:jc w:val="both"/>
        <w:rPr>
          <w:rFonts w:ascii="Arial" w:hAnsi="Arial" w:cs="Arial"/>
          <w:sz w:val="20"/>
          <w:szCs w:val="20"/>
          <w:lang w:val="en-GB"/>
        </w:rPr>
      </w:pPr>
      <w:r>
        <w:rPr>
          <w:rFonts w:ascii="Arial" w:hAnsi="Arial" w:cs="Arial"/>
          <w:sz w:val="20"/>
          <w:szCs w:val="20"/>
          <w:lang w:val="en-GB"/>
        </w:rPr>
        <w:br w:type="textWrapping"/>
      </w:r>
    </w:p>
    <w:p>
      <w:pPr>
        <w:tabs>
          <w:tab w:val="left" w:pos="567"/>
          <w:tab w:val="left" w:pos="1134"/>
        </w:tabs>
        <w:contextualSpacing/>
        <w:jc w:val="both"/>
        <w:rPr>
          <w:rFonts w:ascii="Arial" w:hAnsi="Arial" w:cs="Arial"/>
          <w:sz w:val="20"/>
          <w:szCs w:val="20"/>
          <w:lang w:val="en-GB"/>
        </w:rPr>
      </w:pPr>
      <w:r>
        <w:rPr>
          <w:rFonts w:ascii="Arial" w:hAnsi="Arial" w:cs="Arial"/>
          <w:sz w:val="20"/>
          <w:szCs w:val="20"/>
          <w:lang w:val="en-GB"/>
        </w:rPr>
        <w:t>The Practice agrees to adhere to the Guidelines for Good Teaching Practice:</w:t>
      </w:r>
    </w:p>
    <w:p>
      <w:pPr>
        <w:tabs>
          <w:tab w:val="left" w:pos="567"/>
          <w:tab w:val="left" w:pos="1134"/>
        </w:tabs>
        <w:contextualSpacing/>
        <w:jc w:val="both"/>
        <w:rPr>
          <w:rFonts w:ascii="Arial" w:hAnsi="Arial" w:cs="Arial"/>
          <w:sz w:val="20"/>
          <w:szCs w:val="20"/>
          <w:lang w:val="en-GB"/>
        </w:rPr>
      </w:pPr>
    </w:p>
    <w:p>
      <w:pPr>
        <w:tabs>
          <w:tab w:val="left" w:pos="567"/>
          <w:tab w:val="left" w:pos="1134"/>
        </w:tabs>
        <w:contextualSpacing/>
        <w:jc w:val="both"/>
        <w:rPr>
          <w:rFonts w:ascii="Arial" w:hAnsi="Arial" w:cs="Arial"/>
          <w:sz w:val="20"/>
          <w:szCs w:val="20"/>
          <w:lang w:val="en-GB"/>
        </w:rPr>
      </w:pPr>
    </w:p>
    <w:p>
      <w:pPr>
        <w:tabs>
          <w:tab w:val="left" w:pos="851"/>
          <w:tab w:val="left" w:pos="1134"/>
        </w:tabs>
        <w:contextualSpacing/>
        <w:jc w:val="both"/>
        <w:rPr>
          <w:rFonts w:ascii="Arial" w:hAnsi="Arial" w:cs="Arial"/>
          <w:b/>
          <w:sz w:val="20"/>
          <w:szCs w:val="20"/>
          <w:lang w:val="en-GB"/>
        </w:rPr>
      </w:pPr>
      <w:r>
        <w:rPr>
          <w:rFonts w:ascii="Arial" w:hAnsi="Arial" w:cs="Arial"/>
          <w:b/>
          <w:sz w:val="20"/>
          <w:szCs w:val="20"/>
          <w:lang w:val="en-GB"/>
        </w:rPr>
        <w:t xml:space="preserve">A2.1 </w:t>
      </w:r>
      <w:r>
        <w:rPr>
          <w:rFonts w:ascii="Arial" w:hAnsi="Arial" w:cs="Arial"/>
          <w:b/>
          <w:sz w:val="20"/>
          <w:szCs w:val="20"/>
          <w:lang w:val="en-GB"/>
        </w:rPr>
        <w:tab/>
      </w:r>
      <w:r>
        <w:rPr>
          <w:rFonts w:ascii="Arial" w:hAnsi="Arial" w:cs="Arial"/>
          <w:b/>
          <w:sz w:val="20"/>
          <w:szCs w:val="20"/>
          <w:u w:val="single"/>
          <w:lang w:val="en-GB"/>
        </w:rPr>
        <w:t>Organisation</w:t>
      </w:r>
    </w:p>
    <w:p>
      <w:pPr>
        <w:pStyle w:val="12"/>
        <w:tabs>
          <w:tab w:val="left" w:pos="851"/>
        </w:tabs>
        <w:ind w:left="1843" w:hanging="1843"/>
        <w:contextualSpacing/>
        <w:jc w:val="both"/>
        <w:rPr>
          <w:rFonts w:ascii="Arial" w:hAnsi="Arial" w:cs="Arial"/>
        </w:rPr>
      </w:pPr>
      <w:r>
        <w:rPr>
          <w:rFonts w:ascii="Arial" w:hAnsi="Arial" w:cs="Arial"/>
        </w:rPr>
        <w:tab/>
      </w:r>
      <w:r>
        <w:rPr>
          <w:rFonts w:ascii="Arial" w:hAnsi="Arial" w:cs="Arial"/>
        </w:rPr>
        <w:tab/>
      </w:r>
      <w:r>
        <w:rPr>
          <w:rFonts w:ascii="Arial" w:hAnsi="Arial" w:cs="Arial"/>
        </w:rPr>
        <w:t>A2.1.1</w:t>
      </w:r>
      <w:r>
        <w:rPr>
          <w:rFonts w:ascii="Arial" w:hAnsi="Arial" w:cs="Arial"/>
        </w:rPr>
        <w:tab/>
      </w:r>
      <w:r>
        <w:rPr>
          <w:rFonts w:ascii="Arial" w:hAnsi="Arial" w:cs="Arial"/>
        </w:rPr>
        <w:t>Attend designated teaching sessions on time.  If this is not possible, arrange for a suitable replacement.</w:t>
      </w:r>
    </w:p>
    <w:p>
      <w:pPr>
        <w:pStyle w:val="12"/>
        <w:tabs>
          <w:tab w:val="left" w:pos="851"/>
          <w:tab w:val="left" w:pos="1134"/>
          <w:tab w:val="clear" w:pos="567"/>
        </w:tabs>
        <w:ind w:left="1843" w:hanging="1843"/>
        <w:contextualSpacing/>
        <w:jc w:val="both"/>
        <w:rPr>
          <w:rFonts w:ascii="Arial" w:hAnsi="Arial" w:cs="Arial"/>
        </w:rPr>
      </w:pPr>
      <w:r>
        <w:rPr>
          <w:rFonts w:ascii="Arial" w:hAnsi="Arial" w:cs="Arial"/>
        </w:rPr>
        <w:tab/>
      </w:r>
      <w:r>
        <w:rPr>
          <w:rFonts w:ascii="Arial" w:hAnsi="Arial" w:cs="Arial"/>
        </w:rPr>
        <w:t>A2.1.2</w:t>
      </w:r>
      <w:r>
        <w:rPr>
          <w:rFonts w:ascii="Arial" w:hAnsi="Arial" w:cs="Arial"/>
        </w:rPr>
        <w:tab/>
      </w:r>
      <w:r>
        <w:rPr>
          <w:rFonts w:ascii="Arial" w:hAnsi="Arial" w:cs="Arial"/>
        </w:rPr>
        <w:t>Ensure that adequate time is allocated for teaching.</w:t>
      </w:r>
    </w:p>
    <w:p>
      <w:pPr>
        <w:pStyle w:val="12"/>
        <w:tabs>
          <w:tab w:val="left" w:pos="851"/>
          <w:tab w:val="left" w:pos="1134"/>
          <w:tab w:val="clear" w:pos="567"/>
        </w:tabs>
        <w:ind w:left="1843" w:hanging="1843"/>
        <w:contextualSpacing/>
        <w:jc w:val="both"/>
        <w:rPr>
          <w:rFonts w:ascii="Arial" w:hAnsi="Arial" w:cs="Arial"/>
        </w:rPr>
      </w:pPr>
      <w:r>
        <w:rPr>
          <w:rFonts w:ascii="Arial" w:hAnsi="Arial" w:cs="Arial"/>
        </w:rPr>
        <w:tab/>
      </w:r>
      <w:r>
        <w:rPr>
          <w:rFonts w:ascii="Arial" w:hAnsi="Arial" w:cs="Arial"/>
        </w:rPr>
        <w:t>A2.1.3</w:t>
      </w:r>
      <w:r>
        <w:rPr>
          <w:rFonts w:ascii="Arial" w:hAnsi="Arial" w:cs="Arial"/>
        </w:rPr>
        <w:tab/>
      </w:r>
      <w:r>
        <w:rPr>
          <w:rFonts w:ascii="Arial" w:hAnsi="Arial" w:cs="Arial"/>
        </w:rPr>
        <w:t>Ensure that all Practice staff are aware of and support teaching commitments.</w:t>
      </w:r>
    </w:p>
    <w:p>
      <w:pPr>
        <w:pStyle w:val="12"/>
        <w:tabs>
          <w:tab w:val="left" w:pos="851"/>
          <w:tab w:val="left" w:pos="1134"/>
          <w:tab w:val="clear" w:pos="567"/>
        </w:tabs>
        <w:ind w:left="1843" w:hanging="1843"/>
        <w:contextualSpacing/>
        <w:jc w:val="both"/>
        <w:rPr>
          <w:rFonts w:ascii="Arial" w:hAnsi="Arial" w:cs="Arial"/>
        </w:rPr>
      </w:pPr>
      <w:r>
        <w:rPr>
          <w:rFonts w:ascii="Arial" w:hAnsi="Arial" w:cs="Arial"/>
        </w:rPr>
        <w:tab/>
      </w:r>
      <w:r>
        <w:rPr>
          <w:rFonts w:ascii="Arial" w:hAnsi="Arial" w:cs="Arial"/>
        </w:rPr>
        <w:t>A2.1.4</w:t>
      </w:r>
      <w:r>
        <w:rPr>
          <w:rFonts w:ascii="Arial" w:hAnsi="Arial" w:cs="Arial"/>
        </w:rPr>
        <w:tab/>
      </w:r>
      <w:r>
        <w:rPr>
          <w:rFonts w:ascii="Arial" w:hAnsi="Arial" w:cs="Arial"/>
        </w:rPr>
        <w:t>Return all paperwork to the Centre for Medical Education</w:t>
      </w:r>
      <w:r>
        <w:rPr>
          <w:rStyle w:val="23"/>
          <w:rFonts w:ascii="Arial" w:hAnsi="Arial" w:cs="Arial"/>
          <w:sz w:val="20"/>
          <w:szCs w:val="20"/>
          <w:lang w:val="en-US"/>
        </w:rPr>
        <w:t xml:space="preserve"> </w:t>
      </w:r>
      <w:r>
        <w:rPr>
          <w:rFonts w:ascii="Arial" w:hAnsi="Arial" w:cs="Arial"/>
        </w:rPr>
        <w:t>promptly.</w:t>
      </w:r>
    </w:p>
    <w:p>
      <w:pPr>
        <w:tabs>
          <w:tab w:val="left" w:pos="851"/>
          <w:tab w:val="left" w:pos="1134"/>
        </w:tabs>
        <w:ind w:left="1843" w:hanging="1843"/>
        <w:contextualSpacing/>
        <w:jc w:val="both"/>
        <w:rPr>
          <w:rFonts w:ascii="Arial" w:hAnsi="Arial" w:cs="Arial"/>
          <w:sz w:val="20"/>
          <w:szCs w:val="20"/>
          <w:lang w:val="en-GB"/>
        </w:rPr>
      </w:pPr>
      <w:r>
        <w:rPr>
          <w:rFonts w:ascii="Arial" w:hAnsi="Arial" w:cs="Arial"/>
          <w:sz w:val="20"/>
          <w:szCs w:val="20"/>
          <w:lang w:val="en-GB"/>
        </w:rPr>
        <w:tab/>
      </w:r>
      <w:r>
        <w:rPr>
          <w:rFonts w:ascii="Arial" w:hAnsi="Arial" w:cs="Arial"/>
          <w:sz w:val="20"/>
          <w:szCs w:val="20"/>
          <w:lang w:val="en-GB"/>
        </w:rPr>
        <w:t>A2.1.5</w:t>
      </w:r>
      <w:r>
        <w:rPr>
          <w:rFonts w:ascii="Arial" w:hAnsi="Arial" w:cs="Arial"/>
          <w:sz w:val="20"/>
          <w:szCs w:val="20"/>
          <w:lang w:val="en-GB"/>
        </w:rPr>
        <w:tab/>
      </w:r>
      <w:r>
        <w:rPr>
          <w:rFonts w:ascii="Arial" w:hAnsi="Arial" w:cs="Arial"/>
          <w:sz w:val="20"/>
          <w:szCs w:val="20"/>
          <w:lang w:val="en-GB"/>
        </w:rPr>
        <w:t>Issue a prepared timetable of activities to the student at the beginning of the attachment.</w:t>
      </w:r>
    </w:p>
    <w:p>
      <w:pPr>
        <w:tabs>
          <w:tab w:val="left" w:pos="567"/>
          <w:tab w:val="left" w:pos="1134"/>
        </w:tabs>
        <w:contextualSpacing/>
        <w:jc w:val="both"/>
        <w:rPr>
          <w:rFonts w:ascii="Arial" w:hAnsi="Arial" w:cs="Arial"/>
          <w:sz w:val="20"/>
          <w:szCs w:val="20"/>
          <w:lang w:val="en-GB"/>
        </w:rPr>
      </w:pPr>
    </w:p>
    <w:p>
      <w:pPr>
        <w:tabs>
          <w:tab w:val="left" w:pos="567"/>
          <w:tab w:val="left" w:pos="1134"/>
        </w:tabs>
        <w:contextualSpacing/>
        <w:jc w:val="both"/>
        <w:rPr>
          <w:rFonts w:ascii="Arial" w:hAnsi="Arial" w:cs="Arial"/>
          <w:sz w:val="20"/>
          <w:szCs w:val="20"/>
          <w:lang w:val="en-GB"/>
        </w:rPr>
      </w:pPr>
    </w:p>
    <w:p>
      <w:pPr>
        <w:tabs>
          <w:tab w:val="left" w:pos="851"/>
          <w:tab w:val="left" w:pos="1134"/>
        </w:tabs>
        <w:contextualSpacing/>
        <w:jc w:val="both"/>
        <w:rPr>
          <w:rFonts w:ascii="Arial" w:hAnsi="Arial" w:cs="Arial"/>
          <w:b/>
          <w:sz w:val="20"/>
          <w:szCs w:val="20"/>
          <w:lang w:val="en-GB"/>
        </w:rPr>
      </w:pPr>
      <w:r>
        <w:rPr>
          <w:rFonts w:ascii="Arial" w:hAnsi="Arial" w:cs="Arial"/>
          <w:b/>
          <w:sz w:val="20"/>
          <w:szCs w:val="20"/>
          <w:lang w:val="en-GB"/>
        </w:rPr>
        <w:t>A2.2</w:t>
      </w:r>
      <w:r>
        <w:rPr>
          <w:rFonts w:ascii="Arial" w:hAnsi="Arial" w:cs="Arial"/>
          <w:b/>
          <w:sz w:val="20"/>
          <w:szCs w:val="20"/>
          <w:lang w:val="en-GB"/>
        </w:rPr>
        <w:tab/>
      </w:r>
      <w:r>
        <w:rPr>
          <w:rFonts w:ascii="Arial" w:hAnsi="Arial" w:cs="Arial"/>
          <w:b/>
          <w:sz w:val="20"/>
          <w:szCs w:val="20"/>
          <w:u w:val="single"/>
          <w:lang w:val="en-GB"/>
        </w:rPr>
        <w:t>Content and Teaching Process</w:t>
      </w:r>
    </w:p>
    <w:p>
      <w:pPr>
        <w:pStyle w:val="12"/>
        <w:tabs>
          <w:tab w:val="left" w:pos="851"/>
          <w:tab w:val="left" w:pos="1134"/>
          <w:tab w:val="left" w:pos="1843"/>
          <w:tab w:val="clear" w:pos="567"/>
        </w:tabs>
        <w:contextualSpacing/>
        <w:jc w:val="both"/>
        <w:rPr>
          <w:rFonts w:ascii="Arial" w:hAnsi="Arial" w:cs="Arial"/>
        </w:rPr>
      </w:pPr>
      <w:r>
        <w:rPr>
          <w:rFonts w:ascii="Arial" w:hAnsi="Arial" w:cs="Arial"/>
        </w:rPr>
        <w:tab/>
      </w:r>
      <w:r>
        <w:rPr>
          <w:rFonts w:ascii="Arial" w:hAnsi="Arial" w:cs="Arial"/>
        </w:rPr>
        <w:t>A2.2.1</w:t>
      </w:r>
      <w:r>
        <w:rPr>
          <w:rFonts w:ascii="Arial" w:hAnsi="Arial" w:cs="Arial"/>
        </w:rPr>
        <w:tab/>
      </w:r>
      <w:r>
        <w:rPr>
          <w:rFonts w:ascii="Arial" w:hAnsi="Arial" w:cs="Arial"/>
        </w:rPr>
        <w:t>Be familiar with the relevant teaching materia</w:t>
      </w:r>
      <w:r>
        <w:rPr>
          <w:rFonts w:ascii="Arial" w:hAnsi="Arial" w:cs="Arial"/>
          <w:strike/>
        </w:rPr>
        <w:t>l</w:t>
      </w:r>
      <w:r>
        <w:rPr>
          <w:rFonts w:ascii="Arial" w:hAnsi="Arial" w:cs="Arial"/>
        </w:rPr>
        <w:t>.</w:t>
      </w:r>
    </w:p>
    <w:p>
      <w:pPr>
        <w:tabs>
          <w:tab w:val="left" w:pos="851"/>
          <w:tab w:val="left" w:pos="1134"/>
          <w:tab w:val="left" w:pos="1843"/>
        </w:tabs>
        <w:contextualSpacing/>
        <w:jc w:val="both"/>
        <w:rPr>
          <w:rFonts w:ascii="Arial" w:hAnsi="Arial" w:cs="Arial"/>
          <w:sz w:val="20"/>
          <w:szCs w:val="20"/>
          <w:lang w:val="en-GB"/>
        </w:rPr>
      </w:pPr>
      <w:r>
        <w:rPr>
          <w:rFonts w:ascii="Arial" w:hAnsi="Arial" w:cs="Arial"/>
          <w:sz w:val="20"/>
          <w:szCs w:val="20"/>
          <w:lang w:val="en-GB"/>
        </w:rPr>
        <w:tab/>
      </w:r>
      <w:r>
        <w:rPr>
          <w:rFonts w:ascii="Arial" w:hAnsi="Arial" w:cs="Arial"/>
          <w:sz w:val="20"/>
          <w:szCs w:val="20"/>
          <w:lang w:val="en-GB"/>
        </w:rPr>
        <w:t>A2.2.2</w:t>
      </w:r>
      <w:r>
        <w:rPr>
          <w:rFonts w:ascii="Arial" w:hAnsi="Arial" w:cs="Arial"/>
          <w:sz w:val="20"/>
          <w:szCs w:val="20"/>
          <w:lang w:val="en-GB"/>
        </w:rPr>
        <w:tab/>
      </w:r>
      <w:r>
        <w:rPr>
          <w:rFonts w:ascii="Arial" w:hAnsi="Arial" w:cs="Arial"/>
          <w:sz w:val="20"/>
          <w:szCs w:val="20"/>
          <w:lang w:val="en-GB"/>
        </w:rPr>
        <w:t>Encourage active student participation.</w:t>
      </w:r>
    </w:p>
    <w:p>
      <w:pPr>
        <w:tabs>
          <w:tab w:val="left" w:pos="851"/>
          <w:tab w:val="left" w:pos="1134"/>
          <w:tab w:val="left" w:pos="1843"/>
        </w:tabs>
        <w:ind w:left="1843" w:hanging="1843"/>
        <w:contextualSpacing/>
        <w:jc w:val="both"/>
        <w:rPr>
          <w:rFonts w:ascii="Arial" w:hAnsi="Arial" w:cs="Arial"/>
          <w:sz w:val="20"/>
          <w:szCs w:val="20"/>
          <w:lang w:val="en-GB"/>
        </w:rPr>
      </w:pPr>
      <w:r>
        <w:rPr>
          <w:rFonts w:ascii="Arial" w:hAnsi="Arial" w:cs="Arial"/>
          <w:sz w:val="20"/>
          <w:szCs w:val="20"/>
          <w:lang w:val="en-GB"/>
        </w:rPr>
        <w:tab/>
      </w:r>
      <w:r>
        <w:rPr>
          <w:rFonts w:ascii="Arial" w:hAnsi="Arial" w:cs="Arial"/>
          <w:sz w:val="20"/>
          <w:szCs w:val="20"/>
          <w:lang w:val="en-GB"/>
        </w:rPr>
        <w:t>A2.2.3</w:t>
      </w:r>
      <w:r>
        <w:rPr>
          <w:rFonts w:ascii="Arial" w:hAnsi="Arial" w:cs="Arial"/>
          <w:sz w:val="20"/>
          <w:szCs w:val="20"/>
          <w:lang w:val="en-GB"/>
        </w:rPr>
        <w:tab/>
      </w:r>
      <w:r>
        <w:rPr>
          <w:rFonts w:ascii="Arial" w:hAnsi="Arial" w:cs="Arial"/>
          <w:sz w:val="20"/>
          <w:szCs w:val="20"/>
          <w:lang w:val="en-GB"/>
        </w:rPr>
        <w:t>Review the Learning Outcomes with the student(s) at appropriate intervals during their period of attendance.</w:t>
      </w:r>
    </w:p>
    <w:p>
      <w:pPr>
        <w:tabs>
          <w:tab w:val="left" w:pos="851"/>
          <w:tab w:val="left" w:pos="1134"/>
          <w:tab w:val="left" w:pos="1843"/>
        </w:tabs>
        <w:contextualSpacing/>
        <w:jc w:val="both"/>
        <w:rPr>
          <w:rFonts w:ascii="Arial" w:hAnsi="Arial" w:cs="Arial"/>
          <w:sz w:val="20"/>
          <w:szCs w:val="20"/>
          <w:lang w:val="en-GB"/>
        </w:rPr>
      </w:pPr>
      <w:r>
        <w:rPr>
          <w:rFonts w:ascii="Arial" w:hAnsi="Arial" w:cs="Arial"/>
          <w:sz w:val="20"/>
          <w:szCs w:val="20"/>
          <w:lang w:val="en-GB"/>
        </w:rPr>
        <w:tab/>
      </w:r>
      <w:r>
        <w:rPr>
          <w:rFonts w:ascii="Arial" w:hAnsi="Arial" w:cs="Arial"/>
          <w:sz w:val="20"/>
          <w:szCs w:val="20"/>
          <w:lang w:val="en-GB"/>
        </w:rPr>
        <w:t>A2.2.4</w:t>
      </w:r>
      <w:r>
        <w:rPr>
          <w:rFonts w:ascii="Arial" w:hAnsi="Arial" w:cs="Arial"/>
          <w:sz w:val="20"/>
          <w:szCs w:val="20"/>
          <w:lang w:val="en-GB"/>
        </w:rPr>
        <w:tab/>
      </w:r>
      <w:r>
        <w:rPr>
          <w:rFonts w:ascii="Arial" w:hAnsi="Arial" w:cs="Arial"/>
          <w:sz w:val="20"/>
          <w:szCs w:val="20"/>
          <w:lang w:val="en-GB"/>
        </w:rPr>
        <w:t>Respect the student-teacher interaction as a professional relationship.</w:t>
      </w:r>
    </w:p>
    <w:p>
      <w:pPr>
        <w:tabs>
          <w:tab w:val="left" w:pos="851"/>
          <w:tab w:val="left" w:pos="1134"/>
          <w:tab w:val="left" w:pos="1843"/>
        </w:tabs>
        <w:contextualSpacing/>
        <w:jc w:val="both"/>
        <w:rPr>
          <w:rFonts w:ascii="Arial" w:hAnsi="Arial" w:cs="Arial"/>
          <w:sz w:val="20"/>
          <w:szCs w:val="20"/>
          <w:lang w:val="en-GB"/>
        </w:rPr>
      </w:pPr>
      <w:r>
        <w:rPr>
          <w:rFonts w:ascii="Arial" w:hAnsi="Arial" w:cs="Arial"/>
          <w:sz w:val="20"/>
          <w:szCs w:val="20"/>
          <w:lang w:val="en-GB"/>
        </w:rPr>
        <w:tab/>
      </w:r>
      <w:r>
        <w:rPr>
          <w:rFonts w:ascii="Arial" w:hAnsi="Arial" w:cs="Arial"/>
          <w:sz w:val="20"/>
          <w:szCs w:val="20"/>
          <w:lang w:val="en-GB"/>
        </w:rPr>
        <w:t>A2.2.5</w:t>
      </w:r>
      <w:r>
        <w:rPr>
          <w:rFonts w:ascii="Arial" w:hAnsi="Arial" w:cs="Arial"/>
          <w:sz w:val="20"/>
          <w:szCs w:val="20"/>
          <w:lang w:val="en-GB"/>
        </w:rPr>
        <w:tab/>
      </w:r>
      <w:r>
        <w:rPr>
          <w:rFonts w:ascii="Arial" w:hAnsi="Arial" w:cs="Arial"/>
          <w:sz w:val="20"/>
          <w:szCs w:val="20"/>
          <w:lang w:val="en-GB"/>
        </w:rPr>
        <w:t>Value the assessment and feedback as a two-way process.</w:t>
      </w:r>
    </w:p>
    <w:p>
      <w:pPr>
        <w:tabs>
          <w:tab w:val="left" w:pos="851"/>
          <w:tab w:val="left" w:pos="1134"/>
          <w:tab w:val="left" w:pos="1843"/>
        </w:tabs>
        <w:ind w:left="1843" w:hanging="1843"/>
        <w:contextualSpacing/>
        <w:jc w:val="both"/>
        <w:rPr>
          <w:rFonts w:ascii="Arial" w:hAnsi="Arial" w:cs="Arial"/>
          <w:sz w:val="20"/>
          <w:szCs w:val="20"/>
          <w:lang w:val="en-GB"/>
        </w:rPr>
      </w:pPr>
      <w:r>
        <w:rPr>
          <w:rFonts w:ascii="Arial" w:hAnsi="Arial" w:cs="Arial"/>
          <w:sz w:val="20"/>
          <w:szCs w:val="20"/>
          <w:lang w:val="en-GB"/>
        </w:rPr>
        <w:tab/>
      </w:r>
      <w:r>
        <w:rPr>
          <w:rFonts w:ascii="Arial" w:hAnsi="Arial" w:cs="Arial"/>
          <w:sz w:val="20"/>
          <w:szCs w:val="20"/>
          <w:lang w:val="en-GB"/>
        </w:rPr>
        <w:t>A2.2.6</w:t>
      </w:r>
      <w:r>
        <w:rPr>
          <w:rFonts w:ascii="Arial" w:hAnsi="Arial" w:cs="Arial"/>
          <w:sz w:val="20"/>
          <w:szCs w:val="20"/>
          <w:lang w:val="en-GB"/>
        </w:rPr>
        <w:tab/>
      </w:r>
      <w:r>
        <w:rPr>
          <w:rFonts w:ascii="Arial" w:hAnsi="Arial" w:cs="Arial"/>
          <w:sz w:val="20"/>
          <w:szCs w:val="20"/>
          <w:lang w:val="en-GB"/>
        </w:rPr>
        <w:t>Undertake necessary changes to ensure that Learning Outcomes are met.</w:t>
      </w:r>
    </w:p>
    <w:p>
      <w:pPr>
        <w:tabs>
          <w:tab w:val="left" w:pos="851"/>
          <w:tab w:val="left" w:pos="1134"/>
        </w:tabs>
        <w:ind w:left="1843" w:hanging="1843"/>
        <w:contextualSpacing/>
        <w:jc w:val="both"/>
        <w:rPr>
          <w:rFonts w:ascii="Arial" w:hAnsi="Arial" w:cs="Arial"/>
          <w:sz w:val="20"/>
          <w:szCs w:val="20"/>
          <w:lang w:val="en-GB"/>
        </w:rPr>
      </w:pPr>
      <w:r>
        <w:rPr>
          <w:rFonts w:ascii="Arial" w:hAnsi="Arial" w:cs="Arial"/>
          <w:sz w:val="20"/>
          <w:szCs w:val="20"/>
          <w:lang w:val="en-GB"/>
        </w:rPr>
        <w:tab/>
      </w:r>
      <w:r>
        <w:rPr>
          <w:rFonts w:ascii="Arial" w:hAnsi="Arial" w:cs="Arial"/>
          <w:sz w:val="20"/>
          <w:szCs w:val="20"/>
          <w:lang w:val="en-GB"/>
        </w:rPr>
        <w:t>A2.2.7</w:t>
      </w:r>
      <w:r>
        <w:rPr>
          <w:rFonts w:ascii="Arial" w:hAnsi="Arial" w:cs="Arial"/>
          <w:sz w:val="20"/>
          <w:szCs w:val="20"/>
          <w:lang w:val="en-GB"/>
        </w:rPr>
        <w:tab/>
      </w:r>
      <w:r>
        <w:rPr>
          <w:rFonts w:ascii="Arial" w:hAnsi="Arial" w:cs="Arial"/>
          <w:sz w:val="20"/>
          <w:szCs w:val="20"/>
          <w:lang w:val="en-GB"/>
        </w:rPr>
        <w:t>Have an awareness of the students’ need for balanced and objective assessment on current issues.</w:t>
      </w:r>
    </w:p>
    <w:p>
      <w:pPr>
        <w:tabs>
          <w:tab w:val="left" w:pos="567"/>
          <w:tab w:val="left" w:pos="1134"/>
        </w:tabs>
        <w:contextualSpacing/>
        <w:jc w:val="both"/>
        <w:rPr>
          <w:rFonts w:ascii="Arial" w:hAnsi="Arial" w:cs="Arial"/>
          <w:sz w:val="20"/>
          <w:szCs w:val="20"/>
          <w:lang w:val="en-GB"/>
        </w:rPr>
      </w:pPr>
    </w:p>
    <w:p>
      <w:pPr>
        <w:tabs>
          <w:tab w:val="left" w:pos="567"/>
          <w:tab w:val="left" w:pos="1134"/>
        </w:tabs>
        <w:contextualSpacing/>
        <w:jc w:val="both"/>
        <w:rPr>
          <w:rFonts w:ascii="Arial" w:hAnsi="Arial" w:cs="Arial"/>
          <w:sz w:val="20"/>
          <w:szCs w:val="20"/>
          <w:lang w:val="en-GB"/>
        </w:rPr>
      </w:pPr>
    </w:p>
    <w:p>
      <w:pPr>
        <w:tabs>
          <w:tab w:val="left" w:pos="567"/>
          <w:tab w:val="left" w:pos="851"/>
        </w:tabs>
        <w:contextualSpacing/>
        <w:jc w:val="both"/>
        <w:rPr>
          <w:rFonts w:ascii="Arial" w:hAnsi="Arial" w:cs="Arial"/>
          <w:b/>
          <w:sz w:val="20"/>
          <w:szCs w:val="20"/>
          <w:lang w:val="en-GB"/>
        </w:rPr>
      </w:pPr>
      <w:r>
        <w:rPr>
          <w:rFonts w:ascii="Arial" w:hAnsi="Arial" w:cs="Arial"/>
          <w:b/>
          <w:sz w:val="20"/>
          <w:szCs w:val="20"/>
          <w:lang w:val="en-GB"/>
        </w:rPr>
        <w:t>A2.3</w:t>
      </w:r>
      <w:r>
        <w:rPr>
          <w:rFonts w:ascii="Arial" w:hAnsi="Arial" w:cs="Arial"/>
          <w:b/>
          <w:sz w:val="20"/>
          <w:szCs w:val="20"/>
          <w:lang w:val="en-GB"/>
        </w:rPr>
        <w:tab/>
      </w:r>
      <w:r>
        <w:rPr>
          <w:rFonts w:ascii="Arial" w:hAnsi="Arial" w:cs="Arial"/>
          <w:b/>
          <w:sz w:val="20"/>
          <w:szCs w:val="20"/>
          <w:lang w:val="en-GB"/>
        </w:rPr>
        <w:tab/>
      </w:r>
      <w:r>
        <w:rPr>
          <w:rFonts w:ascii="Arial" w:hAnsi="Arial" w:cs="Arial"/>
          <w:b/>
          <w:sz w:val="20"/>
          <w:szCs w:val="20"/>
          <w:u w:val="single"/>
          <w:lang w:val="en-GB"/>
        </w:rPr>
        <w:t>Tutor Support and Development</w:t>
      </w:r>
    </w:p>
    <w:p>
      <w:pPr>
        <w:pStyle w:val="12"/>
        <w:tabs>
          <w:tab w:val="left" w:pos="851"/>
          <w:tab w:val="left" w:pos="1134"/>
          <w:tab w:val="left" w:pos="1843"/>
          <w:tab w:val="clear" w:pos="567"/>
        </w:tabs>
        <w:contextualSpacing/>
        <w:jc w:val="both"/>
        <w:rPr>
          <w:rFonts w:ascii="Arial" w:hAnsi="Arial" w:cs="Arial"/>
        </w:rPr>
      </w:pPr>
      <w:r>
        <w:rPr>
          <w:rFonts w:ascii="Arial" w:hAnsi="Arial" w:cs="Arial"/>
        </w:rPr>
        <w:tab/>
      </w:r>
      <w:r>
        <w:rPr>
          <w:rFonts w:ascii="Arial" w:hAnsi="Arial" w:cs="Arial"/>
        </w:rPr>
        <w:t>A2.3.1</w:t>
      </w:r>
      <w:r>
        <w:rPr>
          <w:rFonts w:ascii="Arial" w:hAnsi="Arial" w:cs="Arial"/>
        </w:rPr>
        <w:tab/>
      </w:r>
      <w:r>
        <w:rPr>
          <w:rFonts w:ascii="Arial" w:hAnsi="Arial" w:cs="Arial"/>
        </w:rPr>
        <w:t>Aim to make the learning experience enjoyable.</w:t>
      </w:r>
    </w:p>
    <w:p>
      <w:pPr>
        <w:tabs>
          <w:tab w:val="left" w:pos="851"/>
          <w:tab w:val="left" w:pos="1134"/>
          <w:tab w:val="left" w:pos="1843"/>
        </w:tabs>
        <w:ind w:left="1843" w:hanging="1843"/>
        <w:contextualSpacing/>
        <w:jc w:val="both"/>
        <w:rPr>
          <w:rFonts w:ascii="Arial" w:hAnsi="Arial" w:cs="Arial"/>
          <w:sz w:val="20"/>
          <w:szCs w:val="20"/>
          <w:lang w:val="en-GB"/>
        </w:rPr>
      </w:pPr>
      <w:r>
        <w:rPr>
          <w:rFonts w:ascii="Arial" w:hAnsi="Arial" w:cs="Arial"/>
          <w:sz w:val="20"/>
          <w:szCs w:val="20"/>
          <w:lang w:val="en-GB"/>
        </w:rPr>
        <w:tab/>
      </w:r>
      <w:r>
        <w:rPr>
          <w:rFonts w:ascii="Arial" w:hAnsi="Arial" w:cs="Arial"/>
          <w:sz w:val="20"/>
          <w:szCs w:val="20"/>
          <w:lang w:val="en-GB"/>
        </w:rPr>
        <w:t>A2.3.2</w:t>
      </w:r>
      <w:r>
        <w:rPr>
          <w:rFonts w:ascii="Arial" w:hAnsi="Arial" w:cs="Arial"/>
          <w:sz w:val="20"/>
          <w:szCs w:val="20"/>
          <w:lang w:val="en-GB"/>
        </w:rPr>
        <w:tab/>
      </w:r>
      <w:r>
        <w:rPr>
          <w:rFonts w:ascii="Arial" w:hAnsi="Arial" w:cs="Arial"/>
          <w:sz w:val="20"/>
          <w:szCs w:val="20"/>
          <w:lang w:val="en-GB"/>
        </w:rPr>
        <w:t>Attend and participate in training events and other contact meetings to facilitate teaching.</w:t>
      </w:r>
    </w:p>
    <w:p>
      <w:pPr>
        <w:tabs>
          <w:tab w:val="left" w:pos="851"/>
          <w:tab w:val="left" w:pos="1134"/>
          <w:tab w:val="left" w:pos="1843"/>
        </w:tabs>
        <w:contextualSpacing/>
        <w:jc w:val="both"/>
        <w:rPr>
          <w:rFonts w:ascii="Arial" w:hAnsi="Arial" w:cs="Arial"/>
          <w:sz w:val="20"/>
          <w:szCs w:val="20"/>
          <w:lang w:val="en-GB"/>
        </w:rPr>
      </w:pPr>
      <w:r>
        <w:rPr>
          <w:rFonts w:ascii="Arial" w:hAnsi="Arial" w:cs="Arial"/>
          <w:sz w:val="20"/>
          <w:szCs w:val="20"/>
          <w:lang w:val="en-GB"/>
        </w:rPr>
        <w:tab/>
      </w:r>
      <w:r>
        <w:rPr>
          <w:rFonts w:ascii="Arial" w:hAnsi="Arial" w:cs="Arial"/>
          <w:sz w:val="20"/>
          <w:szCs w:val="20"/>
          <w:lang w:val="en-GB"/>
        </w:rPr>
        <w:t>A2.3.3</w:t>
      </w:r>
      <w:r>
        <w:rPr>
          <w:rFonts w:ascii="Arial" w:hAnsi="Arial" w:cs="Arial"/>
          <w:sz w:val="20"/>
          <w:szCs w:val="20"/>
          <w:lang w:val="en-GB"/>
        </w:rPr>
        <w:tab/>
      </w:r>
      <w:r>
        <w:rPr>
          <w:rFonts w:ascii="Arial" w:hAnsi="Arial" w:cs="Arial"/>
          <w:sz w:val="20"/>
          <w:szCs w:val="20"/>
          <w:lang w:val="en-GB"/>
        </w:rPr>
        <w:t>Notify the Centre for Medical Education of inability to meet teaching commitments.</w:t>
      </w:r>
    </w:p>
    <w:p>
      <w:pPr>
        <w:tabs>
          <w:tab w:val="left" w:pos="851"/>
          <w:tab w:val="left" w:pos="1134"/>
          <w:tab w:val="left" w:pos="1843"/>
        </w:tabs>
        <w:ind w:left="1843" w:hanging="1843"/>
        <w:contextualSpacing/>
        <w:jc w:val="both"/>
        <w:rPr>
          <w:rFonts w:ascii="Arial" w:hAnsi="Arial" w:cs="Arial"/>
          <w:sz w:val="20"/>
          <w:szCs w:val="20"/>
          <w:lang w:val="en-GB"/>
        </w:rPr>
      </w:pPr>
      <w:r>
        <w:rPr>
          <w:rFonts w:ascii="Arial" w:hAnsi="Arial" w:cs="Arial"/>
          <w:sz w:val="20"/>
          <w:szCs w:val="20"/>
          <w:lang w:val="en-GB"/>
        </w:rPr>
        <w:tab/>
      </w:r>
      <w:r>
        <w:rPr>
          <w:rFonts w:ascii="Arial" w:hAnsi="Arial" w:cs="Arial"/>
          <w:sz w:val="20"/>
          <w:szCs w:val="20"/>
          <w:lang w:val="en-GB"/>
        </w:rPr>
        <w:t>A2.3.4</w:t>
      </w:r>
      <w:r>
        <w:rPr>
          <w:rFonts w:ascii="Arial" w:hAnsi="Arial" w:cs="Arial"/>
          <w:sz w:val="20"/>
          <w:szCs w:val="20"/>
          <w:lang w:val="en-GB"/>
        </w:rPr>
        <w:tab/>
      </w:r>
      <w:r>
        <w:rPr>
          <w:rFonts w:ascii="Arial" w:hAnsi="Arial" w:cs="Arial"/>
          <w:sz w:val="20"/>
          <w:szCs w:val="20"/>
          <w:lang w:val="en-GB"/>
        </w:rPr>
        <w:t>Discuss any training needs with the Centre for Medical Education to ensure teaching commitments are met.</w:t>
      </w:r>
    </w:p>
    <w:p>
      <w:pPr>
        <w:tabs>
          <w:tab w:val="left" w:pos="567"/>
          <w:tab w:val="left" w:pos="1134"/>
        </w:tabs>
        <w:contextualSpacing/>
        <w:jc w:val="both"/>
        <w:rPr>
          <w:rFonts w:ascii="Arial" w:hAnsi="Arial" w:cs="Arial"/>
          <w:sz w:val="20"/>
          <w:szCs w:val="20"/>
          <w:lang w:val="en-GB"/>
        </w:rPr>
      </w:pPr>
    </w:p>
    <w:p>
      <w:pPr>
        <w:contextualSpacing/>
        <w:jc w:val="both"/>
        <w:outlineLvl w:val="0"/>
        <w:rPr>
          <w:rFonts w:ascii="Arial" w:hAnsi="Arial" w:cs="Arial"/>
          <w:b/>
          <w:sz w:val="20"/>
          <w:szCs w:val="20"/>
          <w:u w:val="single"/>
          <w:lang w:val="en-GB"/>
        </w:rPr>
      </w:pPr>
      <w:r>
        <w:rPr>
          <w:rFonts w:ascii="Arial" w:hAnsi="Arial" w:cs="Arial"/>
          <w:sz w:val="20"/>
          <w:szCs w:val="20"/>
          <w:lang w:val="en-GB"/>
        </w:rPr>
        <w:br w:type="page"/>
      </w:r>
      <w:r>
        <w:rPr>
          <w:rFonts w:ascii="Arial" w:hAnsi="Arial" w:cs="Arial"/>
          <w:b/>
          <w:sz w:val="20"/>
          <w:szCs w:val="20"/>
          <w:u w:val="single"/>
          <w:lang w:val="en-GB"/>
        </w:rPr>
        <w:t>Appendix 3</w:t>
      </w:r>
    </w:p>
    <w:p>
      <w:pPr>
        <w:contextualSpacing/>
        <w:jc w:val="both"/>
        <w:rPr>
          <w:rFonts w:ascii="Arial" w:hAnsi="Arial" w:cs="Arial"/>
          <w:sz w:val="20"/>
          <w:szCs w:val="20"/>
          <w:lang w:val="en-GB"/>
        </w:rPr>
      </w:pPr>
    </w:p>
    <w:p>
      <w:pPr>
        <w:contextualSpacing/>
        <w:jc w:val="center"/>
        <w:outlineLvl w:val="0"/>
        <w:rPr>
          <w:rFonts w:ascii="Arial" w:hAnsi="Arial" w:cs="Arial"/>
          <w:b/>
          <w:sz w:val="20"/>
          <w:szCs w:val="20"/>
          <w:lang w:val="en-GB"/>
        </w:rPr>
      </w:pPr>
      <w:r>
        <w:rPr>
          <w:rFonts w:ascii="Arial" w:hAnsi="Arial" w:cs="Arial"/>
          <w:b/>
          <w:sz w:val="20"/>
          <w:szCs w:val="20"/>
          <w:lang w:val="en-GB"/>
        </w:rPr>
        <w:t>Insurance</w:t>
      </w:r>
    </w:p>
    <w:p>
      <w:pPr>
        <w:contextualSpacing/>
        <w:jc w:val="both"/>
        <w:rPr>
          <w:rFonts w:ascii="Arial" w:hAnsi="Arial" w:cs="Arial"/>
          <w:sz w:val="20"/>
          <w:szCs w:val="20"/>
          <w:lang w:val="en-GB"/>
        </w:rPr>
      </w:pPr>
      <w:r>
        <w:rPr>
          <w:rFonts w:ascii="Arial" w:hAnsi="Arial" w:cs="Arial"/>
          <w:sz w:val="20"/>
          <w:szCs w:val="20"/>
          <w:lang w:val="en-GB"/>
        </w:rPr>
        <w:br w:type="textWrapping"/>
      </w:r>
    </w:p>
    <w:p>
      <w:pPr>
        <w:ind w:left="720" w:hanging="720"/>
        <w:contextualSpacing/>
        <w:jc w:val="both"/>
        <w:rPr>
          <w:rFonts w:ascii="Arial" w:hAnsi="Arial" w:cs="Arial"/>
          <w:sz w:val="20"/>
          <w:szCs w:val="20"/>
          <w:lang w:val="en-GB"/>
        </w:rPr>
      </w:pPr>
      <w:r>
        <w:rPr>
          <w:rFonts w:ascii="Arial" w:hAnsi="Arial" w:cs="Arial"/>
          <w:b/>
          <w:bCs/>
          <w:sz w:val="20"/>
          <w:szCs w:val="20"/>
          <w:lang w:val="en-GB"/>
        </w:rPr>
        <w:t>A3.1</w:t>
      </w:r>
      <w:r>
        <w:rPr>
          <w:rFonts w:ascii="Arial" w:hAnsi="Arial" w:cs="Arial"/>
          <w:sz w:val="20"/>
          <w:szCs w:val="20"/>
          <w:lang w:val="en-GB"/>
        </w:rPr>
        <w:tab/>
      </w:r>
      <w:r>
        <w:rPr>
          <w:rFonts w:ascii="Arial" w:hAnsi="Arial" w:cs="Arial"/>
          <w:sz w:val="20"/>
          <w:szCs w:val="20"/>
          <w:lang w:val="en-GB"/>
        </w:rPr>
        <w:t>GPs and Practice Staff (e.g. Practice nurses) are not Health Service employees and are therefore not covered by NHS Indemnity.</w:t>
      </w:r>
    </w:p>
    <w:p>
      <w:pPr>
        <w:ind w:left="720" w:hanging="720"/>
        <w:contextualSpacing/>
        <w:jc w:val="both"/>
        <w:rPr>
          <w:rFonts w:ascii="Arial" w:hAnsi="Arial" w:cs="Arial"/>
          <w:sz w:val="20"/>
          <w:szCs w:val="20"/>
          <w:lang w:val="en-GB"/>
        </w:rPr>
      </w:pPr>
    </w:p>
    <w:p>
      <w:pPr>
        <w:ind w:left="720" w:hanging="720"/>
        <w:contextualSpacing/>
        <w:jc w:val="both"/>
        <w:rPr>
          <w:rFonts w:ascii="Arial" w:hAnsi="Arial" w:cs="Arial"/>
          <w:sz w:val="20"/>
          <w:szCs w:val="20"/>
          <w:lang w:val="en-GB"/>
        </w:rPr>
      </w:pPr>
      <w:r>
        <w:rPr>
          <w:rFonts w:ascii="Arial" w:hAnsi="Arial" w:cs="Arial"/>
          <w:b/>
          <w:bCs/>
          <w:sz w:val="20"/>
          <w:szCs w:val="20"/>
          <w:lang w:val="en-GB"/>
        </w:rPr>
        <w:t>A3.2</w:t>
      </w:r>
      <w:r>
        <w:rPr>
          <w:rFonts w:ascii="Arial" w:hAnsi="Arial" w:cs="Arial"/>
          <w:sz w:val="20"/>
          <w:szCs w:val="20"/>
          <w:lang w:val="en-GB"/>
        </w:rPr>
        <w:tab/>
      </w:r>
      <w:r>
        <w:rPr>
          <w:rFonts w:ascii="Arial" w:hAnsi="Arial" w:cs="Arial"/>
          <w:sz w:val="20"/>
          <w:szCs w:val="20"/>
          <w:lang w:val="en-GB"/>
        </w:rPr>
        <w:t>All GPs should hold current membership of a medical protection organisation.</w:t>
      </w:r>
    </w:p>
    <w:p>
      <w:pPr>
        <w:contextualSpacing/>
        <w:jc w:val="both"/>
        <w:rPr>
          <w:rFonts w:ascii="Arial" w:hAnsi="Arial" w:cs="Arial"/>
          <w:sz w:val="20"/>
          <w:szCs w:val="20"/>
          <w:lang w:val="en-GB"/>
        </w:rPr>
      </w:pPr>
    </w:p>
    <w:p>
      <w:pPr>
        <w:ind w:left="720" w:hanging="720"/>
        <w:contextualSpacing/>
        <w:jc w:val="both"/>
        <w:rPr>
          <w:rFonts w:ascii="Arial" w:hAnsi="Arial" w:cs="Arial"/>
          <w:sz w:val="20"/>
          <w:szCs w:val="20"/>
          <w:lang w:val="en-GB"/>
        </w:rPr>
      </w:pPr>
      <w:r>
        <w:rPr>
          <w:rFonts w:ascii="Arial" w:hAnsi="Arial" w:cs="Arial"/>
          <w:b/>
          <w:bCs/>
          <w:sz w:val="20"/>
          <w:szCs w:val="20"/>
          <w:lang w:val="en-GB"/>
        </w:rPr>
        <w:t>A3.3</w:t>
      </w:r>
      <w:r>
        <w:rPr>
          <w:rFonts w:ascii="Arial" w:hAnsi="Arial" w:cs="Arial"/>
          <w:sz w:val="20"/>
          <w:szCs w:val="20"/>
          <w:lang w:val="en-GB"/>
        </w:rPr>
        <w:tab/>
      </w:r>
      <w:r>
        <w:rPr>
          <w:rFonts w:ascii="Arial" w:hAnsi="Arial" w:cs="Arial"/>
          <w:sz w:val="20"/>
          <w:szCs w:val="20"/>
          <w:lang w:val="en-GB"/>
        </w:rPr>
        <w:t>GPs should notify their medical protection organisation of their involvement in student placements and, in the event of a claim, GPs should seek advice and assistance from their medical protection organisation.</w:t>
      </w:r>
    </w:p>
    <w:p>
      <w:pPr>
        <w:contextualSpacing/>
        <w:jc w:val="both"/>
        <w:rPr>
          <w:rFonts w:ascii="Arial" w:hAnsi="Arial" w:cs="Arial"/>
          <w:sz w:val="20"/>
          <w:szCs w:val="20"/>
          <w:lang w:val="en-GB"/>
        </w:rPr>
      </w:pPr>
    </w:p>
    <w:p>
      <w:pPr>
        <w:ind w:left="720" w:hanging="720"/>
        <w:contextualSpacing/>
        <w:jc w:val="both"/>
        <w:rPr>
          <w:rFonts w:ascii="Arial" w:hAnsi="Arial" w:cs="Arial"/>
          <w:sz w:val="20"/>
          <w:szCs w:val="20"/>
          <w:lang w:val="en-GB"/>
        </w:rPr>
      </w:pPr>
      <w:r>
        <w:rPr>
          <w:rFonts w:ascii="Arial" w:hAnsi="Arial" w:cs="Arial"/>
          <w:b/>
          <w:bCs/>
          <w:sz w:val="20"/>
          <w:szCs w:val="20"/>
          <w:lang w:val="en-GB"/>
        </w:rPr>
        <w:t>A3.4</w:t>
      </w:r>
      <w:r>
        <w:rPr>
          <w:rFonts w:ascii="Arial" w:hAnsi="Arial" w:cs="Arial"/>
          <w:sz w:val="20"/>
          <w:szCs w:val="20"/>
          <w:lang w:val="en-GB"/>
        </w:rPr>
        <w:tab/>
      </w:r>
      <w:r>
        <w:rPr>
          <w:rFonts w:ascii="Arial" w:hAnsi="Arial" w:cs="Arial"/>
          <w:sz w:val="20"/>
          <w:szCs w:val="20"/>
          <w:lang w:val="en-GB"/>
        </w:rPr>
        <w:t>Personal indemnity arrangements of Practice Staff are varied.  If an incident occurs, it is up to the patient to name individuals involved.  GP tutors are advised to clarify the indemnity arrangements of their Practice Staff.  It may be the case that the GP may be vicariously liable for students working under the direct supervision of Practice Staff.</w:t>
      </w:r>
    </w:p>
    <w:p>
      <w:pPr>
        <w:ind w:left="720" w:hanging="720"/>
        <w:contextualSpacing/>
        <w:jc w:val="both"/>
        <w:rPr>
          <w:rFonts w:ascii="Arial" w:hAnsi="Arial" w:cs="Arial"/>
          <w:sz w:val="20"/>
          <w:szCs w:val="20"/>
          <w:lang w:val="en-GB"/>
        </w:rPr>
      </w:pPr>
    </w:p>
    <w:p>
      <w:pPr>
        <w:ind w:left="720" w:hanging="720"/>
        <w:contextualSpacing/>
        <w:jc w:val="both"/>
        <w:rPr>
          <w:rFonts w:ascii="Arial" w:hAnsi="Arial" w:cs="Arial"/>
          <w:b/>
          <w:sz w:val="20"/>
          <w:szCs w:val="20"/>
          <w:lang w:val="en-GB"/>
        </w:rPr>
      </w:pPr>
      <w:r>
        <w:rPr>
          <w:rFonts w:ascii="Arial" w:hAnsi="Arial" w:cs="Arial"/>
          <w:b/>
          <w:sz w:val="20"/>
          <w:szCs w:val="20"/>
          <w:lang w:val="en-GB"/>
        </w:rPr>
        <w:t>A3.5</w:t>
      </w:r>
      <w:r>
        <w:rPr>
          <w:rFonts w:ascii="Arial" w:hAnsi="Arial" w:cs="Arial"/>
          <w:b/>
          <w:sz w:val="20"/>
          <w:szCs w:val="20"/>
          <w:lang w:val="en-GB"/>
        </w:rPr>
        <w:tab/>
      </w:r>
      <w:r>
        <w:rPr>
          <w:rFonts w:ascii="Arial" w:hAnsi="Arial" w:cs="Arial"/>
          <w:sz w:val="20"/>
          <w:szCs w:val="20"/>
          <w:lang w:val="en-GB"/>
        </w:rPr>
        <w:t>Queen’s will ensure that students receive appropriate information with regards to their responsibility to obtain medical indemnity through a recognised medical protection association.</w:t>
      </w:r>
      <w:r>
        <w:rPr>
          <w:rFonts w:ascii="Arial" w:hAnsi="Arial" w:cs="Arial"/>
          <w:sz w:val="20"/>
          <w:szCs w:val="20"/>
          <w:lang w:val="en-GB"/>
        </w:rPr>
        <w:tab/>
      </w:r>
    </w:p>
    <w:p>
      <w:pPr>
        <w:ind w:left="720" w:hanging="720"/>
        <w:contextualSpacing/>
        <w:jc w:val="both"/>
        <w:rPr>
          <w:rFonts w:ascii="Arial" w:hAnsi="Arial" w:cs="Arial"/>
          <w:sz w:val="20"/>
          <w:szCs w:val="20"/>
          <w:lang w:val="en-GB"/>
        </w:rPr>
      </w:pPr>
      <w:r>
        <w:rPr>
          <w:rFonts w:ascii="Arial" w:hAnsi="Arial" w:cs="Arial"/>
          <w:b/>
          <w:bCs/>
          <w:sz w:val="20"/>
          <w:szCs w:val="20"/>
          <w:lang w:val="en-GB"/>
        </w:rPr>
        <w:t>A3.6</w:t>
      </w:r>
      <w:r>
        <w:rPr>
          <w:rFonts w:ascii="Arial" w:hAnsi="Arial" w:cs="Arial"/>
          <w:sz w:val="20"/>
          <w:szCs w:val="20"/>
          <w:lang w:val="en-GB"/>
        </w:rPr>
        <w:tab/>
      </w:r>
      <w:r>
        <w:rPr>
          <w:rFonts w:ascii="Arial" w:hAnsi="Arial" w:cs="Arial"/>
          <w:sz w:val="20"/>
          <w:szCs w:val="20"/>
          <w:lang w:val="en-GB"/>
        </w:rPr>
        <w:t>The medical students are advised to become members of at least one medical protection organisation.  Current membership details, including level of cover and protection afforded, are available from the medical protection organisation(s).</w:t>
      </w:r>
    </w:p>
    <w:p>
      <w:pPr>
        <w:contextualSpacing/>
        <w:jc w:val="both"/>
        <w:rPr>
          <w:rFonts w:ascii="Arial" w:hAnsi="Arial" w:cs="Arial"/>
          <w:sz w:val="20"/>
          <w:szCs w:val="20"/>
          <w:lang w:val="en-GB"/>
        </w:rPr>
      </w:pPr>
    </w:p>
    <w:p>
      <w:pPr>
        <w:ind w:left="720" w:hanging="720"/>
        <w:contextualSpacing/>
        <w:jc w:val="both"/>
        <w:rPr>
          <w:rFonts w:ascii="Arial" w:hAnsi="Arial" w:cs="Arial"/>
          <w:sz w:val="20"/>
          <w:szCs w:val="20"/>
          <w:lang w:val="en-GB"/>
        </w:rPr>
      </w:pPr>
      <w:r>
        <w:rPr>
          <w:rFonts w:ascii="Arial" w:hAnsi="Arial" w:cs="Arial"/>
          <w:b/>
          <w:bCs/>
          <w:sz w:val="20"/>
          <w:szCs w:val="20"/>
          <w:lang w:val="en-GB"/>
        </w:rPr>
        <w:t>A3.7</w:t>
      </w:r>
      <w:r>
        <w:rPr>
          <w:rFonts w:ascii="Arial" w:hAnsi="Arial" w:cs="Arial"/>
          <w:sz w:val="20"/>
          <w:szCs w:val="20"/>
          <w:lang w:val="en-GB"/>
        </w:rPr>
        <w:tab/>
      </w:r>
      <w:r>
        <w:rPr>
          <w:rFonts w:ascii="Arial" w:hAnsi="Arial" w:cs="Arial"/>
          <w:sz w:val="20"/>
          <w:szCs w:val="20"/>
          <w:lang w:val="en-GB"/>
        </w:rPr>
        <w:t>A student, whose action is outside the supervision of the GP, and which subsequently results in a claim, will need to contact his/her medical protection organisation(s) immediately to seek advice and assistance.</w:t>
      </w:r>
    </w:p>
    <w:p>
      <w:pPr>
        <w:contextualSpacing/>
        <w:jc w:val="both"/>
        <w:rPr>
          <w:rFonts w:ascii="Arial" w:hAnsi="Arial" w:cs="Arial"/>
          <w:strike/>
          <w:sz w:val="20"/>
          <w:szCs w:val="20"/>
          <w:lang w:val="en-GB"/>
        </w:rPr>
      </w:pPr>
    </w:p>
    <w:p>
      <w:pPr>
        <w:pStyle w:val="12"/>
        <w:tabs>
          <w:tab w:val="clear" w:pos="567"/>
        </w:tabs>
        <w:contextualSpacing/>
        <w:jc w:val="both"/>
        <w:rPr>
          <w:rFonts w:ascii="Arial" w:hAnsi="Arial" w:cs="Arial"/>
        </w:rPr>
      </w:pPr>
      <w:r>
        <w:rPr>
          <w:rFonts w:ascii="Arial" w:hAnsi="Arial" w:cs="Arial"/>
          <w:b/>
          <w:bCs/>
        </w:rPr>
        <w:t>A3.8</w:t>
      </w:r>
      <w:r>
        <w:rPr>
          <w:rFonts w:ascii="Arial" w:hAnsi="Arial" w:cs="Arial"/>
        </w:rPr>
        <w:tab/>
      </w:r>
      <w:r>
        <w:rPr>
          <w:rFonts w:ascii="Arial" w:hAnsi="Arial" w:cs="Arial"/>
        </w:rPr>
        <w:t>Practical Advice for GPs:</w:t>
      </w:r>
    </w:p>
    <w:p>
      <w:pPr>
        <w:pStyle w:val="12"/>
        <w:tabs>
          <w:tab w:val="clear" w:pos="567"/>
        </w:tabs>
        <w:contextualSpacing/>
        <w:jc w:val="both"/>
        <w:rPr>
          <w:rFonts w:ascii="Arial" w:hAnsi="Arial" w:cs="Arial"/>
        </w:rPr>
      </w:pPr>
    </w:p>
    <w:p>
      <w:pPr>
        <w:ind w:left="1701" w:hanging="981"/>
        <w:contextualSpacing/>
        <w:jc w:val="both"/>
        <w:rPr>
          <w:rFonts w:ascii="Arial" w:hAnsi="Arial" w:cs="Arial"/>
          <w:sz w:val="20"/>
          <w:szCs w:val="20"/>
          <w:lang w:val="en-GB"/>
        </w:rPr>
      </w:pPr>
      <w:r>
        <w:rPr>
          <w:rFonts w:ascii="Arial" w:hAnsi="Arial" w:cs="Arial"/>
          <w:sz w:val="20"/>
          <w:szCs w:val="20"/>
          <w:lang w:val="en-GB"/>
        </w:rPr>
        <w:t>A3.8.1</w:t>
      </w:r>
      <w:r>
        <w:rPr>
          <w:rFonts w:ascii="Arial" w:hAnsi="Arial" w:cs="Arial"/>
          <w:sz w:val="20"/>
          <w:szCs w:val="20"/>
          <w:lang w:val="en-GB"/>
        </w:rPr>
        <w:tab/>
      </w:r>
      <w:r>
        <w:rPr>
          <w:rFonts w:ascii="Arial" w:hAnsi="Arial" w:cs="Arial"/>
          <w:sz w:val="20"/>
          <w:szCs w:val="20"/>
          <w:lang w:val="en-GB"/>
        </w:rPr>
        <w:t>Supervise students closely at all times but particularly when performing practical or intimate procedures.  This may include provision of chaperones where appropriate.</w:t>
      </w:r>
    </w:p>
    <w:p>
      <w:pPr>
        <w:ind w:left="1701" w:hanging="981"/>
        <w:contextualSpacing/>
        <w:jc w:val="both"/>
        <w:rPr>
          <w:rFonts w:ascii="Arial" w:hAnsi="Arial" w:cs="Arial"/>
          <w:sz w:val="20"/>
          <w:szCs w:val="20"/>
          <w:lang w:val="en-GB"/>
        </w:rPr>
      </w:pPr>
      <w:r>
        <w:rPr>
          <w:rFonts w:ascii="Arial" w:hAnsi="Arial" w:cs="Arial"/>
          <w:sz w:val="20"/>
          <w:szCs w:val="20"/>
          <w:lang w:val="en-GB"/>
        </w:rPr>
        <w:t>A3.8.2</w:t>
      </w:r>
      <w:r>
        <w:rPr>
          <w:rFonts w:ascii="Arial" w:hAnsi="Arial" w:cs="Arial"/>
          <w:sz w:val="20"/>
          <w:szCs w:val="20"/>
          <w:lang w:val="en-GB"/>
        </w:rPr>
        <w:tab/>
      </w:r>
      <w:r>
        <w:rPr>
          <w:rFonts w:ascii="Arial" w:hAnsi="Arial" w:cs="Arial"/>
          <w:sz w:val="20"/>
          <w:szCs w:val="20"/>
          <w:lang w:val="en-GB"/>
        </w:rPr>
        <w:t>Specify the content of sessions with Practice Staff.  Be aware of the nature of tasks involved.</w:t>
      </w:r>
    </w:p>
    <w:p>
      <w:pPr>
        <w:ind w:left="1701" w:hanging="981"/>
        <w:contextualSpacing/>
        <w:jc w:val="both"/>
        <w:rPr>
          <w:rFonts w:ascii="Arial" w:hAnsi="Arial" w:cs="Arial"/>
          <w:sz w:val="20"/>
          <w:szCs w:val="20"/>
          <w:lang w:val="en-GB"/>
        </w:rPr>
      </w:pPr>
      <w:r>
        <w:rPr>
          <w:rFonts w:ascii="Arial" w:hAnsi="Arial" w:cs="Arial"/>
          <w:sz w:val="20"/>
          <w:szCs w:val="20"/>
          <w:lang w:val="en-GB"/>
        </w:rPr>
        <w:t>A3.8.3</w:t>
      </w:r>
      <w:r>
        <w:rPr>
          <w:rFonts w:ascii="Arial" w:hAnsi="Arial" w:cs="Arial"/>
          <w:sz w:val="20"/>
          <w:szCs w:val="20"/>
          <w:lang w:val="en-GB"/>
        </w:rPr>
        <w:tab/>
      </w:r>
      <w:r>
        <w:rPr>
          <w:rFonts w:ascii="Arial" w:hAnsi="Arial" w:cs="Arial"/>
          <w:sz w:val="20"/>
          <w:szCs w:val="20"/>
          <w:lang w:val="en-GB"/>
        </w:rPr>
        <w:t>When students see patients in their own homes, another responsible person should be in attendance.  A responsible person in this case includes another student, a GP or Practice Staff.</w:t>
      </w:r>
    </w:p>
    <w:p>
      <w:pPr>
        <w:ind w:left="1701" w:hanging="981"/>
        <w:contextualSpacing/>
        <w:jc w:val="both"/>
        <w:rPr>
          <w:rFonts w:ascii="Arial" w:hAnsi="Arial" w:cs="Arial"/>
          <w:sz w:val="20"/>
          <w:szCs w:val="20"/>
          <w:lang w:val="en-GB"/>
        </w:rPr>
      </w:pPr>
      <w:r>
        <w:rPr>
          <w:rFonts w:ascii="Arial" w:hAnsi="Arial" w:cs="Arial"/>
          <w:sz w:val="20"/>
          <w:szCs w:val="20"/>
          <w:lang w:val="en-GB"/>
        </w:rPr>
        <w:t>A3.8.4</w:t>
      </w:r>
      <w:r>
        <w:rPr>
          <w:rFonts w:ascii="Arial" w:hAnsi="Arial" w:cs="Arial"/>
          <w:sz w:val="20"/>
          <w:szCs w:val="20"/>
          <w:lang w:val="en-GB"/>
        </w:rPr>
        <w:tab/>
      </w:r>
      <w:r>
        <w:rPr>
          <w:rFonts w:ascii="Arial" w:hAnsi="Arial" w:cs="Arial"/>
          <w:sz w:val="20"/>
          <w:szCs w:val="20"/>
          <w:lang w:val="en-GB"/>
        </w:rPr>
        <w:t xml:space="preserve">Clarify the insurance arrangements of the Practice and Practice employees.  GPs should discuss the nature of all student teaching (including any out of hours sessions, if relevant, and travel arrangements for home visits) with, and be guided by, their insurer.  </w:t>
      </w:r>
    </w:p>
    <w:p>
      <w:pPr>
        <w:ind w:left="1701" w:hanging="981"/>
        <w:contextualSpacing/>
        <w:jc w:val="both"/>
        <w:rPr>
          <w:rFonts w:ascii="Arial" w:hAnsi="Arial" w:cs="Arial"/>
          <w:sz w:val="20"/>
          <w:szCs w:val="20"/>
          <w:lang w:val="en-GB"/>
        </w:rPr>
      </w:pPr>
      <w:r>
        <w:rPr>
          <w:rFonts w:ascii="Arial" w:hAnsi="Arial" w:cs="Arial"/>
          <w:sz w:val="20"/>
          <w:szCs w:val="20"/>
          <w:lang w:val="en-GB"/>
        </w:rPr>
        <w:t>A3.8.5</w:t>
      </w:r>
      <w:r>
        <w:rPr>
          <w:rFonts w:ascii="Arial" w:hAnsi="Arial" w:cs="Arial"/>
          <w:sz w:val="20"/>
          <w:szCs w:val="20"/>
          <w:lang w:val="en-GB"/>
        </w:rPr>
        <w:tab/>
      </w:r>
      <w:r>
        <w:rPr>
          <w:rFonts w:ascii="Arial" w:hAnsi="Arial" w:cs="Arial"/>
          <w:sz w:val="20"/>
          <w:szCs w:val="20"/>
          <w:lang w:val="en-GB"/>
        </w:rPr>
        <w:t>Contact the relevant Module Coordinator in the Centre for Medical Education if you have any queries.</w:t>
      </w:r>
    </w:p>
    <w:p>
      <w:pPr>
        <w:ind w:left="1701" w:hanging="981"/>
        <w:contextualSpacing/>
        <w:jc w:val="both"/>
        <w:rPr>
          <w:rFonts w:ascii="Arial" w:hAnsi="Arial" w:cs="Arial"/>
          <w:sz w:val="20"/>
          <w:szCs w:val="20"/>
          <w:lang w:val="en-GB"/>
        </w:rPr>
      </w:pPr>
    </w:p>
    <w:p>
      <w:pPr>
        <w:ind w:left="720" w:hanging="720"/>
        <w:contextualSpacing/>
        <w:jc w:val="both"/>
        <w:rPr>
          <w:rFonts w:ascii="Arial" w:hAnsi="Arial" w:cs="Arial"/>
          <w:sz w:val="20"/>
          <w:szCs w:val="20"/>
          <w:lang w:val="en-GB"/>
        </w:rPr>
        <w:sectPr>
          <w:headerReference r:id="rId3" w:type="first"/>
          <w:footerReference r:id="rId4" w:type="default"/>
          <w:pgSz w:w="11907" w:h="16840"/>
          <w:pgMar w:top="1440" w:right="1440" w:bottom="1440" w:left="1440" w:header="567" w:footer="567" w:gutter="0"/>
          <w:pgNumType w:start="1"/>
          <w:cols w:space="720" w:num="1"/>
          <w:titlePg/>
          <w:docGrid w:linePitch="326" w:charSpace="0"/>
        </w:sectPr>
      </w:pPr>
      <w:r>
        <w:rPr>
          <w:rFonts w:ascii="Arial" w:hAnsi="Arial" w:cs="Arial"/>
          <w:b/>
          <w:bCs/>
          <w:sz w:val="20"/>
          <w:szCs w:val="20"/>
          <w:lang w:val="en-GB"/>
        </w:rPr>
        <w:t>A3.9</w:t>
      </w:r>
      <w:r>
        <w:rPr>
          <w:rFonts w:ascii="Arial" w:hAnsi="Arial" w:cs="Arial"/>
          <w:sz w:val="20"/>
          <w:szCs w:val="20"/>
          <w:lang w:val="en-GB"/>
        </w:rPr>
        <w:tab/>
      </w:r>
      <w:r>
        <w:rPr>
          <w:rFonts w:ascii="Arial" w:hAnsi="Arial" w:cs="Arial"/>
          <w:sz w:val="20"/>
          <w:szCs w:val="20"/>
          <w:lang w:val="en-GB"/>
        </w:rPr>
        <w:t>Practices are responsible for the insurance of any equipment funded by Department of Health via SUMDE for undergraduate teaching.</w:t>
      </w:r>
    </w:p>
    <w:tbl>
      <w:tblPr>
        <w:tblStyle w:val="28"/>
        <w:tblW w:w="14184" w:type="dxa"/>
        <w:tblInd w:w="0" w:type="dxa"/>
        <w:tblLayout w:type="autofit"/>
        <w:tblCellMar>
          <w:top w:w="0" w:type="dxa"/>
          <w:left w:w="108" w:type="dxa"/>
          <w:bottom w:w="0" w:type="dxa"/>
          <w:right w:w="108" w:type="dxa"/>
        </w:tblCellMar>
      </w:tblPr>
      <w:tblGrid>
        <w:gridCol w:w="2552"/>
        <w:gridCol w:w="6237"/>
        <w:gridCol w:w="4246"/>
        <w:gridCol w:w="1149"/>
      </w:tblGrid>
      <w:tr>
        <w:tblPrEx>
          <w:tblCellMar>
            <w:top w:w="0" w:type="dxa"/>
            <w:left w:w="108" w:type="dxa"/>
            <w:bottom w:w="0" w:type="dxa"/>
            <w:right w:w="108" w:type="dxa"/>
          </w:tblCellMar>
        </w:tblPrEx>
        <w:trPr>
          <w:trHeight w:val="266" w:hRule="atLeast"/>
        </w:trPr>
        <w:tc>
          <w:tcPr>
            <w:tcW w:w="2552" w:type="dxa"/>
            <w:tcBorders>
              <w:top w:val="nil"/>
              <w:left w:val="nil"/>
              <w:bottom w:val="nil"/>
              <w:right w:val="nil"/>
            </w:tcBorders>
            <w:shd w:val="clear" w:color="auto" w:fill="auto"/>
            <w:noWrap/>
            <w:vAlign w:val="bottom"/>
          </w:tcPr>
          <w:p>
            <w:pPr>
              <w:contextualSpacing/>
              <w:rPr>
                <w:rFonts w:ascii="Arial" w:hAnsi="Arial" w:cs="Arial"/>
                <w:b/>
                <w:bCs/>
                <w:color w:val="000000"/>
                <w:sz w:val="18"/>
                <w:szCs w:val="18"/>
                <w:lang w:val="en-GB" w:eastAsia="en-GB"/>
              </w:rPr>
            </w:pPr>
            <w:r>
              <w:rPr>
                <w:rFonts w:ascii="Arial" w:hAnsi="Arial" w:cs="Arial"/>
                <w:b/>
                <w:bCs/>
                <w:color w:val="000000"/>
                <w:sz w:val="18"/>
                <w:szCs w:val="18"/>
              </w:rPr>
              <w:t>Appendix 4</w:t>
            </w:r>
          </w:p>
        </w:tc>
        <w:tc>
          <w:tcPr>
            <w:tcW w:w="11632" w:type="dxa"/>
            <w:gridSpan w:val="3"/>
            <w:tcBorders>
              <w:top w:val="nil"/>
              <w:left w:val="nil"/>
              <w:bottom w:val="nil"/>
              <w:right w:val="nil"/>
            </w:tcBorders>
            <w:shd w:val="clear" w:color="auto" w:fill="auto"/>
            <w:noWrap/>
            <w:vAlign w:val="bottom"/>
          </w:tcPr>
          <w:p>
            <w:pPr>
              <w:contextualSpacing/>
              <w:rPr>
                <w:rFonts w:ascii="Arial" w:hAnsi="Arial" w:cs="Arial"/>
                <w:b/>
                <w:bCs/>
                <w:color w:val="000000"/>
                <w:sz w:val="18"/>
                <w:szCs w:val="18"/>
              </w:rPr>
            </w:pPr>
            <w:r>
              <w:rPr>
                <w:rFonts w:ascii="Arial" w:hAnsi="Arial" w:cs="Arial"/>
                <w:b/>
                <w:bCs/>
                <w:color w:val="000000"/>
                <w:sz w:val="18"/>
                <w:szCs w:val="18"/>
              </w:rPr>
              <w:t>Financial Year 2020-2021 GP SUMDE Payments Schedule</w:t>
            </w:r>
          </w:p>
        </w:tc>
      </w:tr>
      <w:tr>
        <w:tblPrEx>
          <w:tblCellMar>
            <w:top w:w="0" w:type="dxa"/>
            <w:left w:w="108" w:type="dxa"/>
            <w:bottom w:w="0" w:type="dxa"/>
            <w:right w:w="108" w:type="dxa"/>
          </w:tblCellMar>
        </w:tblPrEx>
        <w:trPr>
          <w:trHeight w:val="80" w:hRule="atLeast"/>
        </w:trPr>
        <w:tc>
          <w:tcPr>
            <w:tcW w:w="2552" w:type="dxa"/>
            <w:tcBorders>
              <w:top w:val="nil"/>
              <w:left w:val="nil"/>
              <w:bottom w:val="nil"/>
              <w:right w:val="nil"/>
            </w:tcBorders>
            <w:shd w:val="clear" w:color="auto" w:fill="auto"/>
            <w:noWrap/>
            <w:vAlign w:val="bottom"/>
          </w:tcPr>
          <w:p>
            <w:pPr>
              <w:contextualSpacing/>
              <w:jc w:val="center"/>
              <w:rPr>
                <w:rFonts w:ascii="Arial" w:hAnsi="Arial" w:cs="Arial"/>
                <w:b/>
                <w:bCs/>
                <w:color w:val="000000"/>
                <w:sz w:val="18"/>
                <w:szCs w:val="18"/>
              </w:rPr>
            </w:pPr>
          </w:p>
        </w:tc>
        <w:tc>
          <w:tcPr>
            <w:tcW w:w="6237" w:type="dxa"/>
            <w:tcBorders>
              <w:top w:val="nil"/>
              <w:left w:val="nil"/>
              <w:bottom w:val="nil"/>
              <w:right w:val="nil"/>
            </w:tcBorders>
            <w:shd w:val="clear" w:color="auto" w:fill="auto"/>
            <w:noWrap/>
            <w:vAlign w:val="bottom"/>
          </w:tcPr>
          <w:p>
            <w:pPr>
              <w:contextualSpacing/>
              <w:rPr>
                <w:rFonts w:ascii="Arial" w:hAnsi="Arial" w:cs="Arial"/>
                <w:sz w:val="18"/>
                <w:szCs w:val="18"/>
              </w:rPr>
            </w:pPr>
          </w:p>
        </w:tc>
        <w:tc>
          <w:tcPr>
            <w:tcW w:w="4246" w:type="dxa"/>
            <w:tcBorders>
              <w:top w:val="nil"/>
              <w:left w:val="nil"/>
              <w:bottom w:val="nil"/>
              <w:right w:val="nil"/>
            </w:tcBorders>
            <w:shd w:val="clear" w:color="auto" w:fill="auto"/>
            <w:noWrap/>
            <w:vAlign w:val="bottom"/>
          </w:tcPr>
          <w:p>
            <w:pPr>
              <w:contextualSpacing/>
              <w:rPr>
                <w:rFonts w:ascii="Arial" w:hAnsi="Arial" w:cs="Arial"/>
                <w:sz w:val="18"/>
                <w:szCs w:val="18"/>
              </w:rPr>
            </w:pPr>
          </w:p>
        </w:tc>
        <w:tc>
          <w:tcPr>
            <w:tcW w:w="1149" w:type="dxa"/>
            <w:tcBorders>
              <w:top w:val="nil"/>
              <w:left w:val="nil"/>
              <w:bottom w:val="nil"/>
              <w:right w:val="nil"/>
            </w:tcBorders>
            <w:shd w:val="clear" w:color="auto" w:fill="auto"/>
            <w:noWrap/>
            <w:vAlign w:val="bottom"/>
          </w:tcPr>
          <w:p>
            <w:pPr>
              <w:contextualSpacing/>
              <w:rPr>
                <w:rFonts w:ascii="Arial" w:hAnsi="Arial" w:cs="Arial"/>
                <w:sz w:val="18"/>
                <w:szCs w:val="18"/>
              </w:rPr>
            </w:pPr>
          </w:p>
        </w:tc>
      </w:tr>
      <w:tr>
        <w:tblPrEx>
          <w:tblCellMar>
            <w:top w:w="0" w:type="dxa"/>
            <w:left w:w="108" w:type="dxa"/>
            <w:bottom w:w="0" w:type="dxa"/>
            <w:right w:w="108" w:type="dxa"/>
          </w:tblCellMar>
        </w:tblPrEx>
        <w:trPr>
          <w:trHeight w:val="266" w:hRule="atLeast"/>
        </w:trPr>
        <w:tc>
          <w:tcPr>
            <w:tcW w:w="2552" w:type="dxa"/>
            <w:tcBorders>
              <w:top w:val="single" w:color="auto" w:sz="4" w:space="0"/>
              <w:left w:val="single" w:color="auto" w:sz="4" w:space="0"/>
              <w:bottom w:val="single" w:color="auto" w:sz="4" w:space="0"/>
              <w:right w:val="single" w:color="auto" w:sz="4" w:space="0"/>
            </w:tcBorders>
            <w:shd w:val="clear" w:color="000000" w:fill="BFBFBF"/>
            <w:noWrap/>
            <w:vAlign w:val="center"/>
          </w:tcPr>
          <w:p>
            <w:pPr>
              <w:contextualSpacing/>
              <w:jc w:val="center"/>
              <w:rPr>
                <w:rFonts w:ascii="Arial" w:hAnsi="Arial" w:cs="Arial"/>
                <w:b/>
                <w:bCs/>
                <w:sz w:val="18"/>
                <w:szCs w:val="18"/>
              </w:rPr>
            </w:pPr>
            <w:r>
              <w:rPr>
                <w:rFonts w:ascii="Arial" w:hAnsi="Arial" w:cs="Arial"/>
                <w:b/>
                <w:bCs/>
                <w:sz w:val="18"/>
                <w:szCs w:val="18"/>
              </w:rPr>
              <w:t>Cohort</w:t>
            </w:r>
          </w:p>
        </w:tc>
        <w:tc>
          <w:tcPr>
            <w:tcW w:w="6237" w:type="dxa"/>
            <w:tcBorders>
              <w:top w:val="single" w:color="auto" w:sz="4" w:space="0"/>
              <w:left w:val="nil"/>
              <w:bottom w:val="single" w:color="auto" w:sz="4" w:space="0"/>
              <w:right w:val="single" w:color="auto" w:sz="4" w:space="0"/>
            </w:tcBorders>
            <w:shd w:val="clear" w:color="000000" w:fill="BFBFBF"/>
            <w:noWrap/>
            <w:vAlign w:val="center"/>
          </w:tcPr>
          <w:p>
            <w:pPr>
              <w:contextualSpacing/>
              <w:jc w:val="center"/>
              <w:rPr>
                <w:rFonts w:ascii="Arial" w:hAnsi="Arial" w:cs="Arial"/>
                <w:b/>
                <w:bCs/>
                <w:sz w:val="18"/>
                <w:szCs w:val="18"/>
              </w:rPr>
            </w:pPr>
            <w:r>
              <w:rPr>
                <w:rFonts w:ascii="Arial" w:hAnsi="Arial" w:cs="Arial"/>
                <w:b/>
                <w:bCs/>
                <w:sz w:val="18"/>
                <w:szCs w:val="18"/>
              </w:rPr>
              <w:t>Course Title</w:t>
            </w:r>
          </w:p>
        </w:tc>
        <w:tc>
          <w:tcPr>
            <w:tcW w:w="4246" w:type="dxa"/>
            <w:tcBorders>
              <w:top w:val="single" w:color="auto" w:sz="4" w:space="0"/>
              <w:left w:val="nil"/>
              <w:bottom w:val="single" w:color="auto" w:sz="4" w:space="0"/>
              <w:right w:val="single" w:color="auto" w:sz="4" w:space="0"/>
            </w:tcBorders>
            <w:shd w:val="clear" w:color="000000" w:fill="BFBFBF"/>
            <w:noWrap/>
            <w:vAlign w:val="center"/>
          </w:tcPr>
          <w:p>
            <w:pPr>
              <w:contextualSpacing/>
              <w:jc w:val="center"/>
              <w:rPr>
                <w:rFonts w:ascii="Arial" w:hAnsi="Arial" w:cs="Arial"/>
                <w:b/>
                <w:bCs/>
                <w:sz w:val="18"/>
                <w:szCs w:val="18"/>
              </w:rPr>
            </w:pPr>
            <w:r>
              <w:rPr>
                <w:rFonts w:ascii="Arial" w:hAnsi="Arial" w:cs="Arial"/>
                <w:b/>
                <w:bCs/>
                <w:sz w:val="18"/>
                <w:szCs w:val="18"/>
              </w:rPr>
              <w:t>Category</w:t>
            </w:r>
          </w:p>
        </w:tc>
        <w:tc>
          <w:tcPr>
            <w:tcW w:w="1149" w:type="dxa"/>
            <w:tcBorders>
              <w:top w:val="single" w:color="auto" w:sz="4" w:space="0"/>
              <w:left w:val="nil"/>
              <w:bottom w:val="single" w:color="auto" w:sz="4" w:space="0"/>
              <w:right w:val="single" w:color="auto" w:sz="4" w:space="0"/>
            </w:tcBorders>
            <w:shd w:val="clear" w:color="000000" w:fill="BFBFBF"/>
            <w:noWrap/>
            <w:vAlign w:val="center"/>
          </w:tcPr>
          <w:p>
            <w:pPr>
              <w:contextualSpacing/>
              <w:jc w:val="center"/>
              <w:rPr>
                <w:rFonts w:ascii="Arial" w:hAnsi="Arial" w:cs="Arial"/>
                <w:b/>
                <w:bCs/>
                <w:sz w:val="18"/>
                <w:szCs w:val="18"/>
              </w:rPr>
            </w:pPr>
            <w:r>
              <w:rPr>
                <w:rFonts w:ascii="Arial" w:hAnsi="Arial" w:cs="Arial"/>
                <w:b/>
                <w:bCs/>
                <w:sz w:val="18"/>
                <w:szCs w:val="18"/>
              </w:rPr>
              <w:t>SUMDE</w:t>
            </w:r>
          </w:p>
        </w:tc>
      </w:tr>
      <w:tr>
        <w:tblPrEx>
          <w:tblCellMar>
            <w:top w:w="0" w:type="dxa"/>
            <w:left w:w="108" w:type="dxa"/>
            <w:bottom w:w="0" w:type="dxa"/>
            <w:right w:w="108" w:type="dxa"/>
          </w:tblCellMar>
        </w:tblPrEx>
        <w:trPr>
          <w:trHeight w:val="266" w:hRule="atLeast"/>
        </w:trPr>
        <w:tc>
          <w:tcPr>
            <w:tcW w:w="2552" w:type="dxa"/>
            <w:tcBorders>
              <w:top w:val="nil"/>
              <w:left w:val="single" w:color="auto" w:sz="4" w:space="0"/>
              <w:bottom w:val="single" w:color="auto" w:sz="4" w:space="0"/>
              <w:right w:val="single" w:color="auto" w:sz="4" w:space="0"/>
            </w:tcBorders>
            <w:shd w:val="clear" w:color="auto" w:fill="auto"/>
            <w:noWrap/>
            <w:vAlign w:val="center"/>
          </w:tcPr>
          <w:p>
            <w:pPr>
              <w:contextualSpacing/>
              <w:rPr>
                <w:rFonts w:ascii="Arial" w:hAnsi="Arial" w:cs="Arial"/>
                <w:b/>
                <w:bCs/>
                <w:sz w:val="18"/>
                <w:szCs w:val="18"/>
              </w:rPr>
            </w:pPr>
            <w:r>
              <w:rPr>
                <w:rFonts w:ascii="Arial" w:hAnsi="Arial" w:cs="Arial"/>
                <w:b/>
                <w:bCs/>
                <w:sz w:val="18"/>
                <w:szCs w:val="18"/>
              </w:rPr>
              <w:t>Out of Practice Sessional Teaching</w:t>
            </w:r>
          </w:p>
        </w:tc>
        <w:tc>
          <w:tcPr>
            <w:tcW w:w="6237" w:type="dxa"/>
            <w:tcBorders>
              <w:top w:val="nil"/>
              <w:left w:val="nil"/>
              <w:bottom w:val="single" w:color="auto" w:sz="4" w:space="0"/>
              <w:right w:val="single" w:color="auto" w:sz="4" w:space="0"/>
            </w:tcBorders>
            <w:shd w:val="clear" w:color="auto" w:fill="auto"/>
            <w:noWrap/>
            <w:vAlign w:val="center"/>
          </w:tcPr>
          <w:p>
            <w:pPr>
              <w:contextualSpacing/>
              <w:jc w:val="center"/>
              <w:rPr>
                <w:rFonts w:ascii="Arial" w:hAnsi="Arial" w:cs="Arial"/>
                <w:b/>
                <w:bCs/>
                <w:sz w:val="18"/>
                <w:szCs w:val="18"/>
              </w:rPr>
            </w:pPr>
            <w:r>
              <w:rPr>
                <w:rFonts w:ascii="Arial" w:hAnsi="Arial" w:cs="Arial"/>
                <w:b/>
                <w:bCs/>
                <w:sz w:val="18"/>
                <w:szCs w:val="18"/>
              </w:rPr>
              <w:t> </w:t>
            </w:r>
          </w:p>
        </w:tc>
        <w:tc>
          <w:tcPr>
            <w:tcW w:w="4246" w:type="dxa"/>
            <w:tcBorders>
              <w:top w:val="nil"/>
              <w:left w:val="nil"/>
              <w:bottom w:val="single" w:color="auto" w:sz="4" w:space="0"/>
              <w:right w:val="single" w:color="auto" w:sz="4" w:space="0"/>
            </w:tcBorders>
            <w:shd w:val="clear" w:color="auto" w:fill="auto"/>
            <w:noWrap/>
            <w:vAlign w:val="center"/>
          </w:tcPr>
          <w:p>
            <w:pPr>
              <w:contextualSpacing/>
              <w:jc w:val="center"/>
              <w:rPr>
                <w:rFonts w:ascii="Arial" w:hAnsi="Arial" w:cs="Arial"/>
                <w:b/>
                <w:bCs/>
                <w:sz w:val="18"/>
                <w:szCs w:val="18"/>
              </w:rPr>
            </w:pPr>
            <w:r>
              <w:rPr>
                <w:rFonts w:ascii="Arial" w:hAnsi="Arial" w:cs="Arial"/>
                <w:b/>
                <w:bCs/>
                <w:sz w:val="18"/>
                <w:szCs w:val="18"/>
              </w:rPr>
              <w:t> </w:t>
            </w:r>
          </w:p>
        </w:tc>
        <w:tc>
          <w:tcPr>
            <w:tcW w:w="1149" w:type="dxa"/>
            <w:tcBorders>
              <w:top w:val="nil"/>
              <w:left w:val="nil"/>
              <w:bottom w:val="single" w:color="auto" w:sz="4" w:space="0"/>
              <w:right w:val="single" w:color="auto" w:sz="4" w:space="0"/>
            </w:tcBorders>
            <w:shd w:val="clear" w:color="auto" w:fill="auto"/>
            <w:noWrap/>
            <w:vAlign w:val="center"/>
          </w:tcPr>
          <w:p>
            <w:pPr>
              <w:contextualSpacing/>
              <w:jc w:val="center"/>
              <w:rPr>
                <w:rFonts w:ascii="Arial" w:hAnsi="Arial" w:cs="Arial"/>
                <w:b/>
                <w:bCs/>
                <w:sz w:val="18"/>
                <w:szCs w:val="18"/>
              </w:rPr>
            </w:pPr>
            <w:r>
              <w:rPr>
                <w:rFonts w:ascii="Arial" w:hAnsi="Arial" w:cs="Arial"/>
                <w:b/>
                <w:bCs/>
                <w:sz w:val="18"/>
                <w:szCs w:val="18"/>
              </w:rPr>
              <w:t> </w:t>
            </w:r>
          </w:p>
        </w:tc>
      </w:tr>
      <w:tr>
        <w:tblPrEx>
          <w:tblCellMar>
            <w:top w:w="0" w:type="dxa"/>
            <w:left w:w="108" w:type="dxa"/>
            <w:bottom w:w="0" w:type="dxa"/>
            <w:right w:w="108" w:type="dxa"/>
          </w:tblCellMar>
        </w:tblPrEx>
        <w:trPr>
          <w:trHeight w:val="266" w:hRule="atLeast"/>
        </w:trPr>
        <w:tc>
          <w:tcPr>
            <w:tcW w:w="2552" w:type="dxa"/>
            <w:tcBorders>
              <w:top w:val="nil"/>
              <w:left w:val="single" w:color="auto" w:sz="4" w:space="0"/>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All</w:t>
            </w:r>
          </w:p>
        </w:tc>
        <w:tc>
          <w:tcPr>
            <w:tcW w:w="6237" w:type="dxa"/>
            <w:tcBorders>
              <w:top w:val="nil"/>
              <w:left w:val="nil"/>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All</w:t>
            </w:r>
          </w:p>
        </w:tc>
        <w:tc>
          <w:tcPr>
            <w:tcW w:w="4246" w:type="dxa"/>
            <w:tcBorders>
              <w:top w:val="nil"/>
              <w:left w:val="nil"/>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Training/Meeting/Single Session</w:t>
            </w:r>
          </w:p>
        </w:tc>
        <w:tc>
          <w:tcPr>
            <w:tcW w:w="1149" w:type="dxa"/>
            <w:tcBorders>
              <w:top w:val="nil"/>
              <w:left w:val="nil"/>
              <w:bottom w:val="single" w:color="auto" w:sz="4" w:space="0"/>
              <w:right w:val="single" w:color="auto" w:sz="4" w:space="0"/>
            </w:tcBorders>
            <w:shd w:val="clear" w:color="auto" w:fill="auto"/>
            <w:noWrap/>
            <w:vAlign w:val="bottom"/>
          </w:tcPr>
          <w:p>
            <w:pPr>
              <w:contextualSpacing/>
              <w:jc w:val="right"/>
              <w:rPr>
                <w:rFonts w:ascii="Arial" w:hAnsi="Arial" w:cs="Arial"/>
                <w:color w:val="000000"/>
                <w:sz w:val="18"/>
                <w:szCs w:val="18"/>
              </w:rPr>
            </w:pPr>
            <w:r>
              <w:rPr>
                <w:rFonts w:ascii="Arial" w:hAnsi="Arial" w:cs="Arial"/>
                <w:color w:val="000000"/>
                <w:sz w:val="18"/>
                <w:szCs w:val="18"/>
              </w:rPr>
              <w:t>£250.00</w:t>
            </w:r>
          </w:p>
        </w:tc>
      </w:tr>
      <w:tr>
        <w:tblPrEx>
          <w:tblCellMar>
            <w:top w:w="0" w:type="dxa"/>
            <w:left w:w="108" w:type="dxa"/>
            <w:bottom w:w="0" w:type="dxa"/>
            <w:right w:w="108" w:type="dxa"/>
          </w:tblCellMar>
        </w:tblPrEx>
        <w:trPr>
          <w:trHeight w:val="266" w:hRule="atLeast"/>
        </w:trPr>
        <w:tc>
          <w:tcPr>
            <w:tcW w:w="2552" w:type="dxa"/>
            <w:tcBorders>
              <w:top w:val="nil"/>
              <w:left w:val="single" w:color="auto" w:sz="4" w:space="0"/>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All</w:t>
            </w:r>
          </w:p>
        </w:tc>
        <w:tc>
          <w:tcPr>
            <w:tcW w:w="6237" w:type="dxa"/>
            <w:tcBorders>
              <w:top w:val="nil"/>
              <w:left w:val="nil"/>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All</w:t>
            </w:r>
          </w:p>
        </w:tc>
        <w:tc>
          <w:tcPr>
            <w:tcW w:w="4246" w:type="dxa"/>
            <w:tcBorders>
              <w:top w:val="nil"/>
              <w:left w:val="nil"/>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Feedback/Review Meeting</w:t>
            </w:r>
          </w:p>
        </w:tc>
        <w:tc>
          <w:tcPr>
            <w:tcW w:w="1149" w:type="dxa"/>
            <w:tcBorders>
              <w:top w:val="nil"/>
              <w:left w:val="nil"/>
              <w:bottom w:val="single" w:color="auto" w:sz="4" w:space="0"/>
              <w:right w:val="single" w:color="auto" w:sz="4" w:space="0"/>
            </w:tcBorders>
            <w:shd w:val="clear" w:color="auto" w:fill="auto"/>
            <w:noWrap/>
            <w:vAlign w:val="bottom"/>
          </w:tcPr>
          <w:p>
            <w:pPr>
              <w:contextualSpacing/>
              <w:jc w:val="right"/>
              <w:rPr>
                <w:rFonts w:ascii="Arial" w:hAnsi="Arial" w:cs="Arial"/>
                <w:color w:val="000000"/>
                <w:sz w:val="18"/>
                <w:szCs w:val="18"/>
              </w:rPr>
            </w:pPr>
            <w:r>
              <w:rPr>
                <w:rFonts w:ascii="Arial" w:hAnsi="Arial" w:cs="Arial"/>
                <w:color w:val="000000"/>
                <w:sz w:val="18"/>
                <w:szCs w:val="18"/>
              </w:rPr>
              <w:t>£250.00</w:t>
            </w:r>
          </w:p>
        </w:tc>
      </w:tr>
      <w:tr>
        <w:tblPrEx>
          <w:tblCellMar>
            <w:top w:w="0" w:type="dxa"/>
            <w:left w:w="108" w:type="dxa"/>
            <w:bottom w:w="0" w:type="dxa"/>
            <w:right w:w="108" w:type="dxa"/>
          </w:tblCellMar>
        </w:tblPrEx>
        <w:trPr>
          <w:trHeight w:val="266" w:hRule="atLeast"/>
        </w:trPr>
        <w:tc>
          <w:tcPr>
            <w:tcW w:w="2552" w:type="dxa"/>
            <w:tcBorders>
              <w:top w:val="nil"/>
              <w:left w:val="single" w:color="auto" w:sz="4" w:space="0"/>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All</w:t>
            </w:r>
          </w:p>
        </w:tc>
        <w:tc>
          <w:tcPr>
            <w:tcW w:w="6237" w:type="dxa"/>
            <w:tcBorders>
              <w:top w:val="nil"/>
              <w:left w:val="nil"/>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All</w:t>
            </w:r>
          </w:p>
        </w:tc>
        <w:tc>
          <w:tcPr>
            <w:tcW w:w="4246" w:type="dxa"/>
            <w:tcBorders>
              <w:top w:val="nil"/>
              <w:left w:val="nil"/>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Examining/Marking</w:t>
            </w:r>
          </w:p>
        </w:tc>
        <w:tc>
          <w:tcPr>
            <w:tcW w:w="1149" w:type="dxa"/>
            <w:tcBorders>
              <w:top w:val="nil"/>
              <w:left w:val="nil"/>
              <w:bottom w:val="single" w:color="auto" w:sz="4" w:space="0"/>
              <w:right w:val="single" w:color="auto" w:sz="4" w:space="0"/>
            </w:tcBorders>
            <w:shd w:val="clear" w:color="auto" w:fill="auto"/>
            <w:noWrap/>
            <w:vAlign w:val="bottom"/>
          </w:tcPr>
          <w:p>
            <w:pPr>
              <w:contextualSpacing/>
              <w:jc w:val="right"/>
              <w:rPr>
                <w:rFonts w:ascii="Arial" w:hAnsi="Arial" w:cs="Arial"/>
                <w:color w:val="000000"/>
                <w:sz w:val="18"/>
                <w:szCs w:val="18"/>
              </w:rPr>
            </w:pPr>
            <w:r>
              <w:rPr>
                <w:rFonts w:ascii="Arial" w:hAnsi="Arial" w:cs="Arial"/>
                <w:color w:val="000000"/>
                <w:sz w:val="18"/>
                <w:szCs w:val="18"/>
              </w:rPr>
              <w:t>£250.00</w:t>
            </w:r>
          </w:p>
        </w:tc>
      </w:tr>
      <w:tr>
        <w:tblPrEx>
          <w:tblCellMar>
            <w:top w:w="0" w:type="dxa"/>
            <w:left w:w="108" w:type="dxa"/>
            <w:bottom w:w="0" w:type="dxa"/>
            <w:right w:w="108" w:type="dxa"/>
          </w:tblCellMar>
        </w:tblPrEx>
        <w:trPr>
          <w:trHeight w:val="266" w:hRule="atLeast"/>
        </w:trPr>
        <w:tc>
          <w:tcPr>
            <w:tcW w:w="2552" w:type="dxa"/>
            <w:tcBorders>
              <w:top w:val="nil"/>
              <w:left w:val="single" w:color="auto" w:sz="4" w:space="0"/>
              <w:bottom w:val="single" w:color="auto" w:sz="4" w:space="0"/>
              <w:right w:val="single" w:color="auto" w:sz="4" w:space="0"/>
            </w:tcBorders>
            <w:shd w:val="clear" w:color="auto" w:fill="auto"/>
            <w:noWrap/>
            <w:vAlign w:val="bottom"/>
          </w:tcPr>
          <w:p>
            <w:pPr>
              <w:contextualSpacing/>
              <w:rPr>
                <w:rFonts w:ascii="Arial" w:hAnsi="Arial" w:cs="Arial"/>
                <w:b/>
                <w:color w:val="000000"/>
                <w:sz w:val="18"/>
                <w:szCs w:val="18"/>
              </w:rPr>
            </w:pPr>
            <w:r>
              <w:rPr>
                <w:rFonts w:ascii="Arial" w:hAnsi="Arial" w:cs="Arial"/>
                <w:b/>
                <w:color w:val="000000"/>
                <w:sz w:val="18"/>
                <w:szCs w:val="18"/>
              </w:rPr>
              <w:t>In Practice Sessional Teaching</w:t>
            </w:r>
          </w:p>
        </w:tc>
        <w:tc>
          <w:tcPr>
            <w:tcW w:w="6237" w:type="dxa"/>
            <w:tcBorders>
              <w:top w:val="nil"/>
              <w:left w:val="nil"/>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p>
        </w:tc>
        <w:tc>
          <w:tcPr>
            <w:tcW w:w="4246" w:type="dxa"/>
            <w:tcBorders>
              <w:top w:val="nil"/>
              <w:left w:val="nil"/>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p>
        </w:tc>
        <w:tc>
          <w:tcPr>
            <w:tcW w:w="1149" w:type="dxa"/>
            <w:tcBorders>
              <w:top w:val="nil"/>
              <w:left w:val="nil"/>
              <w:bottom w:val="single" w:color="auto" w:sz="4" w:space="0"/>
              <w:right w:val="single" w:color="auto" w:sz="4" w:space="0"/>
            </w:tcBorders>
            <w:shd w:val="clear" w:color="auto" w:fill="auto"/>
            <w:noWrap/>
            <w:vAlign w:val="bottom"/>
          </w:tcPr>
          <w:p>
            <w:pPr>
              <w:contextualSpacing/>
              <w:jc w:val="right"/>
              <w:rPr>
                <w:rFonts w:ascii="Arial" w:hAnsi="Arial" w:cs="Arial"/>
                <w:color w:val="000000"/>
                <w:sz w:val="18"/>
                <w:szCs w:val="18"/>
              </w:rPr>
            </w:pPr>
          </w:p>
        </w:tc>
      </w:tr>
      <w:tr>
        <w:tblPrEx>
          <w:tblCellMar>
            <w:top w:w="0" w:type="dxa"/>
            <w:left w:w="108" w:type="dxa"/>
            <w:bottom w:w="0" w:type="dxa"/>
            <w:right w:w="108" w:type="dxa"/>
          </w:tblCellMar>
        </w:tblPrEx>
        <w:trPr>
          <w:trHeight w:val="266" w:hRule="atLeast"/>
        </w:trPr>
        <w:tc>
          <w:tcPr>
            <w:tcW w:w="2552" w:type="dxa"/>
            <w:tcBorders>
              <w:top w:val="nil"/>
              <w:left w:val="single" w:color="auto" w:sz="4" w:space="0"/>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1</w:t>
            </w:r>
          </w:p>
        </w:tc>
        <w:tc>
          <w:tcPr>
            <w:tcW w:w="6237" w:type="dxa"/>
            <w:tcBorders>
              <w:top w:val="nil"/>
              <w:left w:val="nil"/>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Medical Clinical Skills (6 students; pro rata for larger groups)</w:t>
            </w:r>
          </w:p>
        </w:tc>
        <w:tc>
          <w:tcPr>
            <w:tcW w:w="4246" w:type="dxa"/>
            <w:tcBorders>
              <w:top w:val="nil"/>
              <w:left w:val="nil"/>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Practice-based Teaching (9 sessions)</w:t>
            </w:r>
          </w:p>
        </w:tc>
        <w:tc>
          <w:tcPr>
            <w:tcW w:w="1149" w:type="dxa"/>
            <w:tcBorders>
              <w:top w:val="nil"/>
              <w:left w:val="nil"/>
              <w:bottom w:val="single" w:color="auto" w:sz="4" w:space="0"/>
              <w:right w:val="single" w:color="auto" w:sz="4" w:space="0"/>
            </w:tcBorders>
            <w:shd w:val="clear" w:color="auto" w:fill="auto"/>
            <w:noWrap/>
            <w:vAlign w:val="bottom"/>
          </w:tcPr>
          <w:p>
            <w:pPr>
              <w:contextualSpacing/>
              <w:jc w:val="right"/>
              <w:rPr>
                <w:rFonts w:ascii="Arial" w:hAnsi="Arial" w:cs="Arial"/>
                <w:color w:val="000000"/>
                <w:sz w:val="18"/>
                <w:szCs w:val="18"/>
              </w:rPr>
            </w:pPr>
            <w:r>
              <w:rPr>
                <w:rFonts w:ascii="Arial" w:hAnsi="Arial" w:cs="Arial"/>
                <w:color w:val="000000"/>
                <w:sz w:val="18"/>
                <w:szCs w:val="18"/>
              </w:rPr>
              <w:t>£2,250.00</w:t>
            </w:r>
          </w:p>
        </w:tc>
      </w:tr>
      <w:tr>
        <w:tblPrEx>
          <w:tblCellMar>
            <w:top w:w="0" w:type="dxa"/>
            <w:left w:w="108" w:type="dxa"/>
            <w:bottom w:w="0" w:type="dxa"/>
            <w:right w:w="108" w:type="dxa"/>
          </w:tblCellMar>
        </w:tblPrEx>
        <w:trPr>
          <w:trHeight w:val="266" w:hRule="atLeast"/>
        </w:trPr>
        <w:tc>
          <w:tcPr>
            <w:tcW w:w="2552" w:type="dxa"/>
            <w:tcBorders>
              <w:top w:val="nil"/>
              <w:left w:val="single" w:color="auto" w:sz="4" w:space="0"/>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 xml:space="preserve">1 </w:t>
            </w:r>
          </w:p>
        </w:tc>
        <w:tc>
          <w:tcPr>
            <w:tcW w:w="6237" w:type="dxa"/>
            <w:tcBorders>
              <w:top w:val="nil"/>
              <w:left w:val="nil"/>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Family Attachment Scheme (6 students; pro rata for larger groups)</w:t>
            </w:r>
          </w:p>
        </w:tc>
        <w:tc>
          <w:tcPr>
            <w:tcW w:w="4246" w:type="dxa"/>
            <w:tcBorders>
              <w:top w:val="nil"/>
              <w:left w:val="nil"/>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Practice-based Teaching (3 sessions)</w:t>
            </w:r>
          </w:p>
        </w:tc>
        <w:tc>
          <w:tcPr>
            <w:tcW w:w="1149" w:type="dxa"/>
            <w:tcBorders>
              <w:top w:val="nil"/>
              <w:left w:val="nil"/>
              <w:bottom w:val="single" w:color="auto" w:sz="4" w:space="0"/>
              <w:right w:val="single" w:color="auto" w:sz="4" w:space="0"/>
            </w:tcBorders>
            <w:shd w:val="clear" w:color="auto" w:fill="auto"/>
            <w:noWrap/>
            <w:vAlign w:val="bottom"/>
          </w:tcPr>
          <w:p>
            <w:pPr>
              <w:contextualSpacing/>
              <w:jc w:val="right"/>
              <w:rPr>
                <w:rFonts w:ascii="Arial" w:hAnsi="Arial" w:cs="Arial"/>
                <w:color w:val="000000"/>
                <w:sz w:val="18"/>
                <w:szCs w:val="18"/>
              </w:rPr>
            </w:pPr>
            <w:r>
              <w:rPr>
                <w:rFonts w:ascii="Arial" w:hAnsi="Arial" w:cs="Arial"/>
                <w:color w:val="000000"/>
                <w:sz w:val="18"/>
                <w:szCs w:val="18"/>
              </w:rPr>
              <w:t>£750.00</w:t>
            </w:r>
          </w:p>
        </w:tc>
      </w:tr>
      <w:tr>
        <w:tblPrEx>
          <w:tblCellMar>
            <w:top w:w="0" w:type="dxa"/>
            <w:left w:w="108" w:type="dxa"/>
            <w:bottom w:w="0" w:type="dxa"/>
            <w:right w:w="108" w:type="dxa"/>
          </w:tblCellMar>
        </w:tblPrEx>
        <w:trPr>
          <w:trHeight w:val="266" w:hRule="atLeast"/>
        </w:trPr>
        <w:tc>
          <w:tcPr>
            <w:tcW w:w="2552" w:type="dxa"/>
            <w:tcBorders>
              <w:top w:val="nil"/>
              <w:left w:val="single" w:color="auto" w:sz="4" w:space="0"/>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2</w:t>
            </w:r>
          </w:p>
        </w:tc>
        <w:tc>
          <w:tcPr>
            <w:tcW w:w="6237" w:type="dxa"/>
            <w:tcBorders>
              <w:top w:val="nil"/>
              <w:left w:val="nil"/>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General Practice Experience (6 students; pro rata for larger groups)</w:t>
            </w:r>
          </w:p>
        </w:tc>
        <w:tc>
          <w:tcPr>
            <w:tcW w:w="4246" w:type="dxa"/>
            <w:tcBorders>
              <w:top w:val="nil"/>
              <w:left w:val="nil"/>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Practice-based Teaching (3 sessions)</w:t>
            </w:r>
          </w:p>
        </w:tc>
        <w:tc>
          <w:tcPr>
            <w:tcW w:w="1149" w:type="dxa"/>
            <w:tcBorders>
              <w:top w:val="nil"/>
              <w:left w:val="nil"/>
              <w:bottom w:val="single" w:color="auto" w:sz="4" w:space="0"/>
              <w:right w:val="single" w:color="auto" w:sz="4" w:space="0"/>
            </w:tcBorders>
            <w:shd w:val="clear" w:color="auto" w:fill="auto"/>
            <w:noWrap/>
            <w:vAlign w:val="bottom"/>
          </w:tcPr>
          <w:p>
            <w:pPr>
              <w:contextualSpacing/>
              <w:jc w:val="right"/>
              <w:rPr>
                <w:rFonts w:ascii="Arial" w:hAnsi="Arial" w:cs="Arial"/>
                <w:color w:val="000000"/>
                <w:sz w:val="18"/>
                <w:szCs w:val="18"/>
              </w:rPr>
            </w:pPr>
            <w:r>
              <w:rPr>
                <w:rFonts w:ascii="Arial" w:hAnsi="Arial" w:cs="Arial"/>
                <w:color w:val="000000"/>
                <w:sz w:val="18"/>
                <w:szCs w:val="18"/>
              </w:rPr>
              <w:t>£750.00</w:t>
            </w:r>
          </w:p>
        </w:tc>
      </w:tr>
      <w:tr>
        <w:tblPrEx>
          <w:tblCellMar>
            <w:top w:w="0" w:type="dxa"/>
            <w:left w:w="108" w:type="dxa"/>
            <w:bottom w:w="0" w:type="dxa"/>
            <w:right w:w="108" w:type="dxa"/>
          </w:tblCellMar>
        </w:tblPrEx>
        <w:trPr>
          <w:trHeight w:val="266" w:hRule="atLeast"/>
        </w:trPr>
        <w:tc>
          <w:tcPr>
            <w:tcW w:w="2552" w:type="dxa"/>
            <w:tcBorders>
              <w:top w:val="nil"/>
              <w:left w:val="single" w:color="auto" w:sz="4" w:space="0"/>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2</w:t>
            </w:r>
          </w:p>
        </w:tc>
        <w:tc>
          <w:tcPr>
            <w:tcW w:w="6237" w:type="dxa"/>
            <w:tcBorders>
              <w:top w:val="nil"/>
              <w:left w:val="nil"/>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Medical Clinical Skills Semester 1 (6 students; pro rata for larger groups)</w:t>
            </w:r>
          </w:p>
        </w:tc>
        <w:tc>
          <w:tcPr>
            <w:tcW w:w="4246" w:type="dxa"/>
            <w:tcBorders>
              <w:top w:val="nil"/>
              <w:left w:val="nil"/>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Practice-based Teaching (11 sessions)</w:t>
            </w:r>
          </w:p>
        </w:tc>
        <w:tc>
          <w:tcPr>
            <w:tcW w:w="1149" w:type="dxa"/>
            <w:tcBorders>
              <w:top w:val="nil"/>
              <w:left w:val="nil"/>
              <w:bottom w:val="single" w:color="auto" w:sz="4" w:space="0"/>
              <w:right w:val="single" w:color="auto" w:sz="4" w:space="0"/>
            </w:tcBorders>
            <w:shd w:val="clear" w:color="auto" w:fill="auto"/>
            <w:noWrap/>
            <w:vAlign w:val="bottom"/>
          </w:tcPr>
          <w:p>
            <w:pPr>
              <w:contextualSpacing/>
              <w:jc w:val="right"/>
              <w:rPr>
                <w:rFonts w:ascii="Arial" w:hAnsi="Arial" w:cs="Arial"/>
                <w:color w:val="000000"/>
                <w:sz w:val="18"/>
                <w:szCs w:val="18"/>
              </w:rPr>
            </w:pPr>
            <w:r>
              <w:rPr>
                <w:rFonts w:ascii="Arial" w:hAnsi="Arial" w:cs="Arial"/>
                <w:color w:val="000000"/>
                <w:sz w:val="18"/>
                <w:szCs w:val="18"/>
              </w:rPr>
              <w:t>£2,750.00</w:t>
            </w:r>
          </w:p>
        </w:tc>
      </w:tr>
      <w:tr>
        <w:tblPrEx>
          <w:tblCellMar>
            <w:top w:w="0" w:type="dxa"/>
            <w:left w:w="108" w:type="dxa"/>
            <w:bottom w:w="0" w:type="dxa"/>
            <w:right w:w="108" w:type="dxa"/>
          </w:tblCellMar>
        </w:tblPrEx>
        <w:trPr>
          <w:trHeight w:val="266" w:hRule="atLeast"/>
        </w:trPr>
        <w:tc>
          <w:tcPr>
            <w:tcW w:w="2552" w:type="dxa"/>
            <w:tcBorders>
              <w:top w:val="nil"/>
              <w:left w:val="single" w:color="auto" w:sz="4" w:space="0"/>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2</w:t>
            </w:r>
          </w:p>
        </w:tc>
        <w:tc>
          <w:tcPr>
            <w:tcW w:w="6237" w:type="dxa"/>
            <w:tcBorders>
              <w:top w:val="nil"/>
              <w:left w:val="nil"/>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Medical Clinical Skills Semester 2 (6 students; pro rata for larger groups)</w:t>
            </w:r>
          </w:p>
        </w:tc>
        <w:tc>
          <w:tcPr>
            <w:tcW w:w="4246" w:type="dxa"/>
            <w:tcBorders>
              <w:top w:val="nil"/>
              <w:left w:val="nil"/>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Practice-based Teaching (9 sessions)</w:t>
            </w:r>
          </w:p>
        </w:tc>
        <w:tc>
          <w:tcPr>
            <w:tcW w:w="1149" w:type="dxa"/>
            <w:tcBorders>
              <w:top w:val="nil"/>
              <w:left w:val="nil"/>
              <w:bottom w:val="single" w:color="auto" w:sz="4" w:space="0"/>
              <w:right w:val="single" w:color="auto" w:sz="4" w:space="0"/>
            </w:tcBorders>
            <w:shd w:val="clear" w:color="auto" w:fill="auto"/>
            <w:noWrap/>
            <w:vAlign w:val="bottom"/>
          </w:tcPr>
          <w:p>
            <w:pPr>
              <w:contextualSpacing/>
              <w:jc w:val="right"/>
              <w:rPr>
                <w:rFonts w:ascii="Arial" w:hAnsi="Arial" w:cs="Arial"/>
                <w:color w:val="000000"/>
                <w:sz w:val="18"/>
                <w:szCs w:val="18"/>
              </w:rPr>
            </w:pPr>
            <w:r>
              <w:rPr>
                <w:rFonts w:ascii="Arial" w:hAnsi="Arial" w:cs="Arial"/>
                <w:color w:val="000000"/>
                <w:sz w:val="18"/>
                <w:szCs w:val="18"/>
              </w:rPr>
              <w:t>£2,250.00</w:t>
            </w:r>
          </w:p>
        </w:tc>
      </w:tr>
      <w:tr>
        <w:tblPrEx>
          <w:tblCellMar>
            <w:top w:w="0" w:type="dxa"/>
            <w:left w:w="108" w:type="dxa"/>
            <w:bottom w:w="0" w:type="dxa"/>
            <w:right w:w="108" w:type="dxa"/>
          </w:tblCellMar>
        </w:tblPrEx>
        <w:trPr>
          <w:trHeight w:val="266" w:hRule="atLeast"/>
        </w:trPr>
        <w:tc>
          <w:tcPr>
            <w:tcW w:w="2552" w:type="dxa"/>
            <w:tcBorders>
              <w:top w:val="nil"/>
              <w:left w:val="single" w:color="auto" w:sz="4" w:space="0"/>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2 &amp; 3</w:t>
            </w:r>
          </w:p>
        </w:tc>
        <w:tc>
          <w:tcPr>
            <w:tcW w:w="6237" w:type="dxa"/>
            <w:tcBorders>
              <w:top w:val="nil"/>
              <w:left w:val="nil"/>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 xml:space="preserve">SSC </w:t>
            </w:r>
          </w:p>
        </w:tc>
        <w:tc>
          <w:tcPr>
            <w:tcW w:w="4246" w:type="dxa"/>
            <w:tcBorders>
              <w:top w:val="nil"/>
              <w:left w:val="nil"/>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SSC Session</w:t>
            </w:r>
          </w:p>
        </w:tc>
        <w:tc>
          <w:tcPr>
            <w:tcW w:w="1149" w:type="dxa"/>
            <w:tcBorders>
              <w:top w:val="nil"/>
              <w:left w:val="nil"/>
              <w:bottom w:val="single" w:color="auto" w:sz="4" w:space="0"/>
              <w:right w:val="single" w:color="auto" w:sz="4" w:space="0"/>
            </w:tcBorders>
            <w:shd w:val="clear" w:color="auto" w:fill="auto"/>
            <w:noWrap/>
            <w:vAlign w:val="bottom"/>
          </w:tcPr>
          <w:p>
            <w:pPr>
              <w:contextualSpacing/>
              <w:jc w:val="right"/>
              <w:rPr>
                <w:rFonts w:ascii="Arial" w:hAnsi="Arial" w:cs="Arial"/>
                <w:color w:val="000000"/>
                <w:sz w:val="18"/>
                <w:szCs w:val="18"/>
              </w:rPr>
            </w:pPr>
            <w:r>
              <w:rPr>
                <w:rFonts w:ascii="Arial" w:hAnsi="Arial" w:cs="Arial"/>
                <w:color w:val="000000"/>
                <w:sz w:val="18"/>
                <w:szCs w:val="18"/>
              </w:rPr>
              <w:t>£250.00</w:t>
            </w:r>
          </w:p>
        </w:tc>
      </w:tr>
      <w:tr>
        <w:tblPrEx>
          <w:tblCellMar>
            <w:top w:w="0" w:type="dxa"/>
            <w:left w:w="108" w:type="dxa"/>
            <w:bottom w:w="0" w:type="dxa"/>
            <w:right w:w="108" w:type="dxa"/>
          </w:tblCellMar>
        </w:tblPrEx>
        <w:trPr>
          <w:trHeight w:val="266" w:hRule="atLeast"/>
        </w:trPr>
        <w:tc>
          <w:tcPr>
            <w:tcW w:w="2552" w:type="dxa"/>
            <w:tcBorders>
              <w:top w:val="nil"/>
              <w:left w:val="single" w:color="auto" w:sz="4" w:space="0"/>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4</w:t>
            </w:r>
          </w:p>
        </w:tc>
        <w:tc>
          <w:tcPr>
            <w:tcW w:w="6237" w:type="dxa"/>
            <w:tcBorders>
              <w:top w:val="nil"/>
              <w:left w:val="nil"/>
              <w:bottom w:val="single" w:color="auto" w:sz="4" w:space="0"/>
              <w:right w:val="single" w:color="auto" w:sz="4" w:space="0"/>
            </w:tcBorders>
            <w:shd w:val="clear" w:color="auto" w:fill="auto"/>
            <w:noWrap/>
            <w:vAlign w:val="bottom"/>
          </w:tcPr>
          <w:p>
            <w:pPr>
              <w:contextualSpacing/>
              <w:rPr>
                <w:rFonts w:ascii="Arial" w:hAnsi="Arial" w:cs="Arial"/>
                <w:sz w:val="18"/>
                <w:szCs w:val="18"/>
              </w:rPr>
            </w:pPr>
            <w:r>
              <w:rPr>
                <w:rFonts w:ascii="Arial" w:hAnsi="Arial" w:cs="Arial"/>
                <w:sz w:val="18"/>
                <w:szCs w:val="18"/>
              </w:rPr>
              <w:t>Primary Healthcare</w:t>
            </w:r>
          </w:p>
        </w:tc>
        <w:tc>
          <w:tcPr>
            <w:tcW w:w="4246" w:type="dxa"/>
            <w:tcBorders>
              <w:top w:val="nil"/>
              <w:left w:val="nil"/>
              <w:bottom w:val="single" w:color="auto" w:sz="4" w:space="0"/>
              <w:right w:val="single" w:color="auto" w:sz="4" w:space="0"/>
            </w:tcBorders>
            <w:shd w:val="clear" w:color="auto" w:fill="auto"/>
            <w:noWrap/>
            <w:vAlign w:val="bottom"/>
          </w:tcPr>
          <w:p>
            <w:pPr>
              <w:contextualSpacing/>
              <w:rPr>
                <w:rFonts w:ascii="Arial" w:hAnsi="Arial" w:cs="Arial"/>
                <w:sz w:val="18"/>
                <w:szCs w:val="18"/>
              </w:rPr>
            </w:pPr>
            <w:r>
              <w:rPr>
                <w:rFonts w:ascii="Arial" w:hAnsi="Arial" w:cs="Arial"/>
                <w:sz w:val="18"/>
                <w:szCs w:val="18"/>
              </w:rPr>
              <w:t>CCTV Teaching</w:t>
            </w:r>
          </w:p>
        </w:tc>
        <w:tc>
          <w:tcPr>
            <w:tcW w:w="1149" w:type="dxa"/>
            <w:tcBorders>
              <w:top w:val="nil"/>
              <w:left w:val="nil"/>
              <w:bottom w:val="single" w:color="auto" w:sz="4" w:space="0"/>
              <w:right w:val="single" w:color="auto" w:sz="4" w:space="0"/>
            </w:tcBorders>
            <w:shd w:val="clear" w:color="auto" w:fill="auto"/>
            <w:noWrap/>
            <w:vAlign w:val="bottom"/>
          </w:tcPr>
          <w:p>
            <w:pPr>
              <w:contextualSpacing/>
              <w:jc w:val="right"/>
              <w:rPr>
                <w:rFonts w:ascii="Arial" w:hAnsi="Arial" w:cs="Arial"/>
                <w:color w:val="000000"/>
                <w:sz w:val="18"/>
                <w:szCs w:val="18"/>
              </w:rPr>
            </w:pPr>
            <w:r>
              <w:rPr>
                <w:rFonts w:ascii="Arial" w:hAnsi="Arial" w:cs="Arial"/>
                <w:color w:val="000000"/>
                <w:sz w:val="18"/>
                <w:szCs w:val="18"/>
              </w:rPr>
              <w:t>£250.00</w:t>
            </w:r>
          </w:p>
        </w:tc>
      </w:tr>
      <w:tr>
        <w:tblPrEx>
          <w:tblCellMar>
            <w:top w:w="0" w:type="dxa"/>
            <w:left w:w="108" w:type="dxa"/>
            <w:bottom w:w="0" w:type="dxa"/>
            <w:right w:w="108" w:type="dxa"/>
          </w:tblCellMar>
        </w:tblPrEx>
        <w:trPr>
          <w:trHeight w:val="266" w:hRule="atLeast"/>
        </w:trPr>
        <w:tc>
          <w:tcPr>
            <w:tcW w:w="2552" w:type="dxa"/>
            <w:tcBorders>
              <w:top w:val="nil"/>
              <w:left w:val="single" w:color="auto" w:sz="4" w:space="0"/>
              <w:bottom w:val="single" w:color="auto" w:sz="4" w:space="0"/>
              <w:right w:val="single" w:color="auto" w:sz="4" w:space="0"/>
            </w:tcBorders>
            <w:shd w:val="clear" w:color="auto" w:fill="auto"/>
            <w:noWrap/>
            <w:vAlign w:val="bottom"/>
          </w:tcPr>
          <w:p>
            <w:pPr>
              <w:contextualSpacing/>
              <w:rPr>
                <w:rFonts w:ascii="Arial" w:hAnsi="Arial" w:cs="Arial"/>
                <w:b/>
                <w:bCs/>
                <w:color w:val="000000"/>
                <w:sz w:val="18"/>
                <w:szCs w:val="18"/>
              </w:rPr>
            </w:pPr>
            <w:r>
              <w:rPr>
                <w:rFonts w:ascii="Arial" w:hAnsi="Arial" w:cs="Arial"/>
                <w:b/>
                <w:bCs/>
                <w:color w:val="000000"/>
                <w:sz w:val="18"/>
                <w:szCs w:val="18"/>
              </w:rPr>
              <w:t>Embedded Teaching (per student)</w:t>
            </w:r>
          </w:p>
        </w:tc>
        <w:tc>
          <w:tcPr>
            <w:tcW w:w="6237" w:type="dxa"/>
            <w:tcBorders>
              <w:top w:val="nil"/>
              <w:left w:val="nil"/>
              <w:bottom w:val="single" w:color="auto" w:sz="4" w:space="0"/>
              <w:right w:val="single" w:color="auto" w:sz="4" w:space="0"/>
            </w:tcBorders>
            <w:shd w:val="clear" w:color="auto" w:fill="auto"/>
            <w:noWrap/>
            <w:vAlign w:val="bottom"/>
          </w:tcPr>
          <w:p>
            <w:pPr>
              <w:contextualSpacing/>
              <w:rPr>
                <w:rFonts w:ascii="Arial" w:hAnsi="Arial" w:cs="Arial"/>
                <w:b/>
                <w:bCs/>
                <w:color w:val="000000"/>
                <w:sz w:val="18"/>
                <w:szCs w:val="18"/>
              </w:rPr>
            </w:pPr>
            <w:r>
              <w:rPr>
                <w:rFonts w:ascii="Arial" w:hAnsi="Arial" w:cs="Arial"/>
                <w:b/>
                <w:bCs/>
                <w:color w:val="000000"/>
                <w:sz w:val="18"/>
                <w:szCs w:val="18"/>
              </w:rPr>
              <w:t> </w:t>
            </w:r>
          </w:p>
        </w:tc>
        <w:tc>
          <w:tcPr>
            <w:tcW w:w="4246" w:type="dxa"/>
            <w:tcBorders>
              <w:top w:val="nil"/>
              <w:left w:val="nil"/>
              <w:bottom w:val="single" w:color="auto" w:sz="4" w:space="0"/>
              <w:right w:val="single" w:color="auto" w:sz="4" w:space="0"/>
            </w:tcBorders>
            <w:shd w:val="clear" w:color="auto" w:fill="auto"/>
            <w:noWrap/>
            <w:vAlign w:val="bottom"/>
          </w:tcPr>
          <w:p>
            <w:pPr>
              <w:contextualSpacing/>
              <w:rPr>
                <w:rFonts w:ascii="Arial" w:hAnsi="Arial" w:cs="Arial"/>
                <w:b/>
                <w:bCs/>
                <w:color w:val="000000"/>
                <w:sz w:val="18"/>
                <w:szCs w:val="18"/>
              </w:rPr>
            </w:pPr>
            <w:r>
              <w:rPr>
                <w:rFonts w:ascii="Arial" w:hAnsi="Arial" w:cs="Arial"/>
                <w:b/>
                <w:bCs/>
                <w:color w:val="000000"/>
                <w:sz w:val="18"/>
                <w:szCs w:val="18"/>
              </w:rPr>
              <w:t> </w:t>
            </w:r>
          </w:p>
        </w:tc>
        <w:tc>
          <w:tcPr>
            <w:tcW w:w="1149" w:type="dxa"/>
            <w:tcBorders>
              <w:top w:val="nil"/>
              <w:left w:val="nil"/>
              <w:bottom w:val="single" w:color="auto" w:sz="4" w:space="0"/>
              <w:right w:val="single" w:color="auto" w:sz="4" w:space="0"/>
            </w:tcBorders>
            <w:shd w:val="clear" w:color="auto" w:fill="auto"/>
            <w:noWrap/>
            <w:vAlign w:val="bottom"/>
          </w:tcPr>
          <w:p>
            <w:pPr>
              <w:contextualSpacing/>
              <w:jc w:val="right"/>
              <w:rPr>
                <w:rFonts w:ascii="Arial" w:hAnsi="Arial" w:cs="Arial"/>
                <w:b/>
                <w:bCs/>
                <w:color w:val="000000"/>
                <w:sz w:val="18"/>
                <w:szCs w:val="18"/>
              </w:rPr>
            </w:pPr>
            <w:r>
              <w:rPr>
                <w:rFonts w:ascii="Arial" w:hAnsi="Arial" w:cs="Arial"/>
                <w:b/>
                <w:bCs/>
                <w:color w:val="000000"/>
                <w:sz w:val="18"/>
                <w:szCs w:val="18"/>
              </w:rPr>
              <w:t> </w:t>
            </w:r>
          </w:p>
        </w:tc>
      </w:tr>
      <w:tr>
        <w:tblPrEx>
          <w:tblCellMar>
            <w:top w:w="0" w:type="dxa"/>
            <w:left w:w="108" w:type="dxa"/>
            <w:bottom w:w="0" w:type="dxa"/>
            <w:right w:w="108" w:type="dxa"/>
          </w:tblCellMar>
        </w:tblPrEx>
        <w:trPr>
          <w:trHeight w:val="266" w:hRule="atLeast"/>
        </w:trPr>
        <w:tc>
          <w:tcPr>
            <w:tcW w:w="2552" w:type="dxa"/>
            <w:tcBorders>
              <w:top w:val="nil"/>
              <w:left w:val="single" w:color="auto" w:sz="4" w:space="0"/>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4</w:t>
            </w:r>
          </w:p>
        </w:tc>
        <w:tc>
          <w:tcPr>
            <w:tcW w:w="6237" w:type="dxa"/>
            <w:tcBorders>
              <w:top w:val="nil"/>
              <w:left w:val="nil"/>
              <w:bottom w:val="single" w:color="auto" w:sz="4" w:space="0"/>
              <w:right w:val="single" w:color="auto" w:sz="4" w:space="0"/>
            </w:tcBorders>
            <w:shd w:val="clear" w:color="auto" w:fill="auto"/>
            <w:noWrap/>
            <w:vAlign w:val="bottom"/>
          </w:tcPr>
          <w:p>
            <w:pPr>
              <w:contextualSpacing/>
              <w:rPr>
                <w:rFonts w:ascii="Arial" w:hAnsi="Arial" w:cs="Arial"/>
                <w:sz w:val="18"/>
                <w:szCs w:val="18"/>
              </w:rPr>
            </w:pPr>
            <w:r>
              <w:rPr>
                <w:rFonts w:ascii="Arial" w:hAnsi="Arial" w:cs="Arial"/>
                <w:sz w:val="18"/>
                <w:szCs w:val="18"/>
              </w:rPr>
              <w:t>Practice Attachment</w:t>
            </w:r>
          </w:p>
        </w:tc>
        <w:tc>
          <w:tcPr>
            <w:tcW w:w="4246" w:type="dxa"/>
            <w:tcBorders>
              <w:top w:val="nil"/>
              <w:left w:val="nil"/>
              <w:bottom w:val="single" w:color="auto" w:sz="4" w:space="0"/>
              <w:right w:val="single" w:color="auto" w:sz="4" w:space="0"/>
            </w:tcBorders>
            <w:shd w:val="clear" w:color="auto" w:fill="auto"/>
            <w:noWrap/>
            <w:vAlign w:val="bottom"/>
          </w:tcPr>
          <w:p>
            <w:pPr>
              <w:contextualSpacing/>
              <w:rPr>
                <w:rFonts w:ascii="Arial" w:hAnsi="Arial" w:cs="Arial"/>
                <w:sz w:val="18"/>
                <w:szCs w:val="18"/>
              </w:rPr>
            </w:pPr>
            <w:r>
              <w:rPr>
                <w:rFonts w:ascii="Arial" w:hAnsi="Arial" w:cs="Arial"/>
                <w:sz w:val="18"/>
                <w:szCs w:val="18"/>
              </w:rPr>
              <w:t>GP Attachment Teaching (26 sessions)</w:t>
            </w:r>
          </w:p>
        </w:tc>
        <w:tc>
          <w:tcPr>
            <w:tcW w:w="1149" w:type="dxa"/>
            <w:tcBorders>
              <w:top w:val="nil"/>
              <w:left w:val="nil"/>
              <w:bottom w:val="single" w:color="auto" w:sz="4" w:space="0"/>
              <w:right w:val="single" w:color="auto" w:sz="4" w:space="0"/>
            </w:tcBorders>
            <w:shd w:val="clear" w:color="auto" w:fill="auto"/>
            <w:noWrap/>
            <w:vAlign w:val="bottom"/>
          </w:tcPr>
          <w:p>
            <w:pPr>
              <w:contextualSpacing/>
              <w:jc w:val="right"/>
              <w:rPr>
                <w:rFonts w:ascii="Arial" w:hAnsi="Arial" w:cs="Arial"/>
                <w:color w:val="000000"/>
                <w:sz w:val="18"/>
                <w:szCs w:val="18"/>
              </w:rPr>
            </w:pPr>
            <w:r>
              <w:rPr>
                <w:rFonts w:ascii="Arial" w:hAnsi="Arial" w:cs="Arial"/>
                <w:color w:val="000000"/>
                <w:sz w:val="18"/>
                <w:szCs w:val="18"/>
              </w:rPr>
              <w:t>£1,538.42</w:t>
            </w:r>
          </w:p>
        </w:tc>
      </w:tr>
      <w:tr>
        <w:tblPrEx>
          <w:tblCellMar>
            <w:top w:w="0" w:type="dxa"/>
            <w:left w:w="108" w:type="dxa"/>
            <w:bottom w:w="0" w:type="dxa"/>
            <w:right w:w="108" w:type="dxa"/>
          </w:tblCellMar>
        </w:tblPrEx>
        <w:trPr>
          <w:trHeight w:val="266" w:hRule="atLeast"/>
        </w:trPr>
        <w:tc>
          <w:tcPr>
            <w:tcW w:w="2552" w:type="dxa"/>
            <w:tcBorders>
              <w:top w:val="nil"/>
              <w:left w:val="single" w:color="auto" w:sz="4" w:space="0"/>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5</w:t>
            </w:r>
          </w:p>
        </w:tc>
        <w:tc>
          <w:tcPr>
            <w:tcW w:w="6237" w:type="dxa"/>
            <w:tcBorders>
              <w:top w:val="nil"/>
              <w:left w:val="nil"/>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Core Practice Attachment</w:t>
            </w:r>
          </w:p>
        </w:tc>
        <w:tc>
          <w:tcPr>
            <w:tcW w:w="4246" w:type="dxa"/>
            <w:tcBorders>
              <w:top w:val="nil"/>
              <w:left w:val="nil"/>
              <w:bottom w:val="single" w:color="auto" w:sz="4" w:space="0"/>
              <w:right w:val="single" w:color="auto" w:sz="4" w:space="0"/>
            </w:tcBorders>
            <w:shd w:val="clear" w:color="auto" w:fill="auto"/>
            <w:noWrap/>
            <w:vAlign w:val="bottom"/>
          </w:tcPr>
          <w:p>
            <w:pPr>
              <w:contextualSpacing/>
              <w:rPr>
                <w:rFonts w:ascii="Arial" w:hAnsi="Arial" w:cs="Arial"/>
                <w:sz w:val="18"/>
                <w:szCs w:val="18"/>
              </w:rPr>
            </w:pPr>
            <w:r>
              <w:rPr>
                <w:rFonts w:ascii="Arial" w:hAnsi="Arial" w:cs="Arial"/>
                <w:sz w:val="18"/>
                <w:szCs w:val="18"/>
              </w:rPr>
              <w:t>GP Attachment Teaching (per 20 sessions)</w:t>
            </w:r>
          </w:p>
        </w:tc>
        <w:tc>
          <w:tcPr>
            <w:tcW w:w="1149" w:type="dxa"/>
            <w:tcBorders>
              <w:top w:val="nil"/>
              <w:left w:val="nil"/>
              <w:bottom w:val="single" w:color="auto" w:sz="4" w:space="0"/>
              <w:right w:val="single" w:color="auto" w:sz="4" w:space="0"/>
            </w:tcBorders>
            <w:shd w:val="clear" w:color="auto" w:fill="auto"/>
            <w:noWrap/>
            <w:vAlign w:val="bottom"/>
          </w:tcPr>
          <w:p>
            <w:pPr>
              <w:contextualSpacing/>
              <w:jc w:val="right"/>
              <w:rPr>
                <w:rFonts w:ascii="Arial" w:hAnsi="Arial" w:cs="Arial"/>
                <w:color w:val="000000"/>
                <w:sz w:val="18"/>
                <w:szCs w:val="18"/>
              </w:rPr>
            </w:pPr>
            <w:r>
              <w:rPr>
                <w:rFonts w:ascii="Arial" w:hAnsi="Arial" w:cs="Arial"/>
                <w:color w:val="000000"/>
                <w:sz w:val="18"/>
                <w:szCs w:val="18"/>
              </w:rPr>
              <w:t>£1,183.40</w:t>
            </w:r>
          </w:p>
        </w:tc>
      </w:tr>
      <w:tr>
        <w:tblPrEx>
          <w:tblCellMar>
            <w:top w:w="0" w:type="dxa"/>
            <w:left w:w="108" w:type="dxa"/>
            <w:bottom w:w="0" w:type="dxa"/>
            <w:right w:w="108" w:type="dxa"/>
          </w:tblCellMar>
        </w:tblPrEx>
        <w:trPr>
          <w:trHeight w:val="266" w:hRule="atLeast"/>
        </w:trPr>
        <w:tc>
          <w:tcPr>
            <w:tcW w:w="2552" w:type="dxa"/>
            <w:tcBorders>
              <w:top w:val="nil"/>
              <w:left w:val="single" w:color="auto" w:sz="4" w:space="0"/>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4 &amp; 5</w:t>
            </w:r>
          </w:p>
        </w:tc>
        <w:tc>
          <w:tcPr>
            <w:tcW w:w="6237" w:type="dxa"/>
            <w:tcBorders>
              <w:top w:val="nil"/>
              <w:left w:val="nil"/>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Practice Attachment Remedial</w:t>
            </w:r>
          </w:p>
        </w:tc>
        <w:tc>
          <w:tcPr>
            <w:tcW w:w="4246" w:type="dxa"/>
            <w:tcBorders>
              <w:top w:val="nil"/>
              <w:left w:val="nil"/>
              <w:bottom w:val="single" w:color="auto" w:sz="4" w:space="0"/>
              <w:right w:val="single" w:color="auto" w:sz="4" w:space="0"/>
            </w:tcBorders>
            <w:shd w:val="clear" w:color="auto" w:fill="auto"/>
            <w:noWrap/>
            <w:vAlign w:val="bottom"/>
          </w:tcPr>
          <w:p>
            <w:pPr>
              <w:contextualSpacing/>
              <w:rPr>
                <w:rFonts w:ascii="Arial" w:hAnsi="Arial" w:cs="Arial"/>
                <w:sz w:val="18"/>
                <w:szCs w:val="18"/>
              </w:rPr>
            </w:pPr>
            <w:r>
              <w:rPr>
                <w:rFonts w:ascii="Arial" w:hAnsi="Arial" w:cs="Arial"/>
                <w:sz w:val="18"/>
                <w:szCs w:val="18"/>
              </w:rPr>
              <w:t>GP Practice Attachment Remedial (per session)</w:t>
            </w:r>
          </w:p>
        </w:tc>
        <w:tc>
          <w:tcPr>
            <w:tcW w:w="1149" w:type="dxa"/>
            <w:tcBorders>
              <w:top w:val="nil"/>
              <w:left w:val="nil"/>
              <w:bottom w:val="single" w:color="auto" w:sz="4" w:space="0"/>
              <w:right w:val="single" w:color="auto" w:sz="4" w:space="0"/>
            </w:tcBorders>
            <w:shd w:val="clear" w:color="auto" w:fill="auto"/>
            <w:noWrap/>
            <w:vAlign w:val="bottom"/>
          </w:tcPr>
          <w:p>
            <w:pPr>
              <w:contextualSpacing/>
              <w:jc w:val="right"/>
              <w:rPr>
                <w:rFonts w:ascii="Arial" w:hAnsi="Arial" w:cs="Arial"/>
                <w:color w:val="000000"/>
                <w:sz w:val="18"/>
                <w:szCs w:val="18"/>
              </w:rPr>
            </w:pPr>
            <w:r>
              <w:rPr>
                <w:rFonts w:ascii="Arial" w:hAnsi="Arial" w:cs="Arial"/>
                <w:color w:val="000000"/>
                <w:sz w:val="18"/>
                <w:szCs w:val="18"/>
              </w:rPr>
              <w:t>£59.17</w:t>
            </w:r>
          </w:p>
        </w:tc>
      </w:tr>
      <w:tr>
        <w:tblPrEx>
          <w:tblCellMar>
            <w:top w:w="0" w:type="dxa"/>
            <w:left w:w="108" w:type="dxa"/>
            <w:bottom w:w="0" w:type="dxa"/>
            <w:right w:w="108" w:type="dxa"/>
          </w:tblCellMar>
        </w:tblPrEx>
        <w:trPr>
          <w:trHeight w:val="266" w:hRule="atLeast"/>
        </w:trPr>
        <w:tc>
          <w:tcPr>
            <w:tcW w:w="2552" w:type="dxa"/>
            <w:tcBorders>
              <w:top w:val="nil"/>
              <w:left w:val="single" w:color="auto" w:sz="4" w:space="0"/>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5</w:t>
            </w:r>
          </w:p>
        </w:tc>
        <w:tc>
          <w:tcPr>
            <w:tcW w:w="6237" w:type="dxa"/>
            <w:tcBorders>
              <w:top w:val="nil"/>
              <w:left w:val="nil"/>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GP Assistantship</w:t>
            </w:r>
          </w:p>
        </w:tc>
        <w:tc>
          <w:tcPr>
            <w:tcW w:w="4246" w:type="dxa"/>
            <w:tcBorders>
              <w:top w:val="nil"/>
              <w:left w:val="nil"/>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Practice-based Teaching Week (8 sessions)</w:t>
            </w:r>
          </w:p>
        </w:tc>
        <w:tc>
          <w:tcPr>
            <w:tcW w:w="1149" w:type="dxa"/>
            <w:tcBorders>
              <w:top w:val="nil"/>
              <w:left w:val="nil"/>
              <w:bottom w:val="single" w:color="auto" w:sz="4" w:space="0"/>
              <w:right w:val="single" w:color="auto" w:sz="4" w:space="0"/>
            </w:tcBorders>
            <w:shd w:val="clear" w:color="auto" w:fill="auto"/>
            <w:noWrap/>
            <w:vAlign w:val="bottom"/>
          </w:tcPr>
          <w:p>
            <w:pPr>
              <w:contextualSpacing/>
              <w:jc w:val="right"/>
              <w:rPr>
                <w:rFonts w:ascii="Arial" w:hAnsi="Arial" w:cs="Arial"/>
                <w:color w:val="000000"/>
                <w:sz w:val="18"/>
                <w:szCs w:val="18"/>
              </w:rPr>
            </w:pPr>
            <w:r>
              <w:rPr>
                <w:rFonts w:ascii="Arial" w:hAnsi="Arial" w:cs="Arial"/>
                <w:color w:val="000000"/>
                <w:sz w:val="18"/>
                <w:szCs w:val="18"/>
              </w:rPr>
              <w:t>£473.36</w:t>
            </w:r>
          </w:p>
        </w:tc>
      </w:tr>
      <w:tr>
        <w:tblPrEx>
          <w:tblCellMar>
            <w:top w:w="0" w:type="dxa"/>
            <w:left w:w="108" w:type="dxa"/>
            <w:bottom w:w="0" w:type="dxa"/>
            <w:right w:w="108" w:type="dxa"/>
          </w:tblCellMar>
        </w:tblPrEx>
        <w:trPr>
          <w:trHeight w:val="266" w:hRule="atLeast"/>
        </w:trPr>
        <w:tc>
          <w:tcPr>
            <w:tcW w:w="2552" w:type="dxa"/>
            <w:tcBorders>
              <w:top w:val="nil"/>
              <w:left w:val="single" w:color="auto" w:sz="4" w:space="0"/>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5</w:t>
            </w:r>
          </w:p>
        </w:tc>
        <w:tc>
          <w:tcPr>
            <w:tcW w:w="6237" w:type="dxa"/>
            <w:tcBorders>
              <w:top w:val="nil"/>
              <w:left w:val="nil"/>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GP Assistantship (6 students; pro rata for larger groups)</w:t>
            </w:r>
          </w:p>
        </w:tc>
        <w:tc>
          <w:tcPr>
            <w:tcW w:w="4246" w:type="dxa"/>
            <w:tcBorders>
              <w:top w:val="nil"/>
              <w:left w:val="nil"/>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Cluster Lead Day (2 sessions)</w:t>
            </w:r>
          </w:p>
        </w:tc>
        <w:tc>
          <w:tcPr>
            <w:tcW w:w="1149" w:type="dxa"/>
            <w:tcBorders>
              <w:top w:val="nil"/>
              <w:left w:val="nil"/>
              <w:bottom w:val="single" w:color="auto" w:sz="4" w:space="0"/>
              <w:right w:val="single" w:color="auto" w:sz="4" w:space="0"/>
            </w:tcBorders>
            <w:shd w:val="clear" w:color="auto" w:fill="auto"/>
            <w:noWrap/>
            <w:vAlign w:val="bottom"/>
          </w:tcPr>
          <w:p>
            <w:pPr>
              <w:contextualSpacing/>
              <w:jc w:val="right"/>
              <w:rPr>
                <w:rFonts w:ascii="Arial" w:hAnsi="Arial" w:cs="Arial"/>
                <w:sz w:val="18"/>
                <w:szCs w:val="18"/>
              </w:rPr>
            </w:pPr>
            <w:r>
              <w:rPr>
                <w:rFonts w:ascii="Arial" w:hAnsi="Arial" w:cs="Arial"/>
                <w:sz w:val="18"/>
                <w:szCs w:val="18"/>
              </w:rPr>
              <w:t>£710.04</w:t>
            </w:r>
          </w:p>
        </w:tc>
      </w:tr>
      <w:tr>
        <w:tblPrEx>
          <w:tblCellMar>
            <w:top w:w="0" w:type="dxa"/>
            <w:left w:w="108" w:type="dxa"/>
            <w:bottom w:w="0" w:type="dxa"/>
            <w:right w:w="108" w:type="dxa"/>
          </w:tblCellMar>
        </w:tblPrEx>
        <w:trPr>
          <w:trHeight w:val="266" w:hRule="atLeast"/>
        </w:trPr>
        <w:tc>
          <w:tcPr>
            <w:tcW w:w="2552" w:type="dxa"/>
            <w:tcBorders>
              <w:top w:val="nil"/>
              <w:left w:val="nil"/>
              <w:bottom w:val="nil"/>
              <w:right w:val="nil"/>
            </w:tcBorders>
            <w:shd w:val="clear" w:color="auto" w:fill="auto"/>
            <w:noWrap/>
            <w:vAlign w:val="bottom"/>
          </w:tcPr>
          <w:p>
            <w:pPr>
              <w:contextualSpacing/>
              <w:rPr>
                <w:rFonts w:ascii="Arial" w:hAnsi="Arial" w:cs="Arial"/>
                <w:sz w:val="18"/>
                <w:szCs w:val="18"/>
              </w:rPr>
            </w:pPr>
          </w:p>
        </w:tc>
        <w:tc>
          <w:tcPr>
            <w:tcW w:w="6237" w:type="dxa"/>
            <w:tcBorders>
              <w:top w:val="nil"/>
              <w:left w:val="nil"/>
              <w:bottom w:val="nil"/>
              <w:right w:val="nil"/>
            </w:tcBorders>
            <w:shd w:val="clear" w:color="auto" w:fill="auto"/>
            <w:noWrap/>
            <w:vAlign w:val="bottom"/>
          </w:tcPr>
          <w:p>
            <w:pPr>
              <w:contextualSpacing/>
              <w:rPr>
                <w:rFonts w:ascii="Arial" w:hAnsi="Arial" w:cs="Arial"/>
                <w:sz w:val="20"/>
                <w:szCs w:val="20"/>
              </w:rPr>
            </w:pPr>
          </w:p>
        </w:tc>
        <w:tc>
          <w:tcPr>
            <w:tcW w:w="4246" w:type="dxa"/>
            <w:tcBorders>
              <w:top w:val="nil"/>
              <w:left w:val="nil"/>
              <w:bottom w:val="nil"/>
              <w:right w:val="nil"/>
            </w:tcBorders>
            <w:shd w:val="clear" w:color="auto" w:fill="auto"/>
            <w:noWrap/>
            <w:vAlign w:val="bottom"/>
          </w:tcPr>
          <w:p>
            <w:pPr>
              <w:contextualSpacing/>
              <w:rPr>
                <w:rFonts w:ascii="Arial" w:hAnsi="Arial" w:cs="Arial"/>
                <w:sz w:val="20"/>
                <w:szCs w:val="20"/>
              </w:rPr>
            </w:pPr>
          </w:p>
        </w:tc>
        <w:tc>
          <w:tcPr>
            <w:tcW w:w="1149" w:type="dxa"/>
            <w:tcBorders>
              <w:top w:val="nil"/>
              <w:left w:val="nil"/>
              <w:bottom w:val="nil"/>
              <w:right w:val="nil"/>
            </w:tcBorders>
            <w:shd w:val="clear" w:color="auto" w:fill="auto"/>
            <w:noWrap/>
            <w:vAlign w:val="bottom"/>
          </w:tcPr>
          <w:p>
            <w:pPr>
              <w:contextualSpacing/>
              <w:rPr>
                <w:rFonts w:ascii="Arial" w:hAnsi="Arial" w:cs="Arial"/>
                <w:sz w:val="20"/>
                <w:szCs w:val="20"/>
              </w:rPr>
            </w:pPr>
          </w:p>
        </w:tc>
      </w:tr>
      <w:tr>
        <w:tblPrEx>
          <w:tblCellMar>
            <w:top w:w="0" w:type="dxa"/>
            <w:left w:w="108" w:type="dxa"/>
            <w:bottom w:w="0" w:type="dxa"/>
            <w:right w:w="108" w:type="dxa"/>
          </w:tblCellMar>
        </w:tblPrEx>
        <w:trPr>
          <w:trHeight w:val="325" w:hRule="atLeast"/>
        </w:trPr>
        <w:tc>
          <w:tcPr>
            <w:tcW w:w="14184" w:type="dxa"/>
            <w:gridSpan w:val="4"/>
            <w:vMerge w:val="restart"/>
            <w:tcBorders>
              <w:top w:val="nil"/>
              <w:left w:val="nil"/>
              <w:bottom w:val="nil"/>
              <w:right w:val="nil"/>
            </w:tcBorders>
            <w:shd w:val="clear" w:color="auto" w:fill="auto"/>
          </w:tcPr>
          <w:p>
            <w:pPr>
              <w:contextualSpacing/>
              <w:rPr>
                <w:rFonts w:ascii="Arial" w:hAnsi="Arial" w:cs="Arial"/>
                <w:b/>
                <w:bCs/>
                <w:color w:val="000000"/>
                <w:sz w:val="18"/>
                <w:szCs w:val="18"/>
                <w:u w:val="single"/>
              </w:rPr>
            </w:pPr>
            <w:r>
              <w:rPr>
                <w:rFonts w:ascii="Arial" w:hAnsi="Arial" w:cs="Arial"/>
                <w:b/>
                <w:bCs/>
                <w:color w:val="000000"/>
                <w:sz w:val="18"/>
                <w:szCs w:val="18"/>
                <w:u w:val="single"/>
              </w:rPr>
              <w:t>Payment Procedure</w:t>
            </w:r>
            <w:r>
              <w:rPr>
                <w:rFonts w:ascii="Arial" w:hAnsi="Arial" w:cs="Arial"/>
                <w:color w:val="000000"/>
                <w:sz w:val="18"/>
                <w:szCs w:val="18"/>
              </w:rPr>
              <w:br w:type="textWrapping"/>
            </w:r>
            <w:r>
              <w:rPr>
                <w:rFonts w:ascii="Arial" w:hAnsi="Arial" w:cs="Arial"/>
                <w:color w:val="000000"/>
                <w:sz w:val="18"/>
                <w:szCs w:val="18"/>
              </w:rPr>
              <w:t>SUMDE Office prepares SUMDE claims on behalf of GP Practices based upon the information received from CME Module Coordinators.  SUMDE Office processes claims for those GP Practices who have signed the annual SUMDE Service Level Agreement (SLA).  A summary of SUMDE claims is forwarded to BSO each quarter (March, June, September, December).  Any queries regarding SUMDE quarterly payments should be directed to BSO in the first instance. Tel - 028 95 363 742</w:t>
            </w:r>
            <w:r>
              <w:rPr>
                <w:rFonts w:ascii="Arial" w:hAnsi="Arial" w:cs="Arial"/>
                <w:color w:val="000000"/>
                <w:sz w:val="18"/>
                <w:szCs w:val="18"/>
              </w:rPr>
              <w:br w:type="textWrapping"/>
            </w:r>
          </w:p>
          <w:p>
            <w:pPr>
              <w:contextualSpacing/>
              <w:rPr>
                <w:rFonts w:ascii="Arial" w:hAnsi="Arial" w:cs="Arial"/>
                <w:color w:val="000000"/>
                <w:sz w:val="18"/>
                <w:szCs w:val="18"/>
              </w:rPr>
            </w:pPr>
            <w:r>
              <w:rPr>
                <w:rFonts w:ascii="Arial" w:hAnsi="Arial" w:cs="Arial"/>
                <w:b/>
                <w:bCs/>
                <w:color w:val="000000"/>
                <w:sz w:val="18"/>
                <w:szCs w:val="18"/>
                <w:u w:val="single"/>
              </w:rPr>
              <w:t>SUMDE Office Contact Details</w:t>
            </w:r>
            <w:r>
              <w:rPr>
                <w:rFonts w:ascii="Arial" w:hAnsi="Arial" w:cs="Arial"/>
                <w:color w:val="000000"/>
                <w:sz w:val="18"/>
                <w:szCs w:val="18"/>
              </w:rPr>
              <w:br w:type="textWrapping"/>
            </w:r>
            <w:r>
              <w:rPr>
                <w:rFonts w:ascii="Arial" w:hAnsi="Arial" w:cs="Arial"/>
                <w:color w:val="000000"/>
                <w:sz w:val="18"/>
                <w:szCs w:val="18"/>
              </w:rPr>
              <w:t xml:space="preserve">The SUMDE Office can be contacted on 028 9097 2318 or via email at </w:t>
            </w:r>
            <w:r>
              <w:rPr>
                <w:rFonts w:ascii="Arial" w:hAnsi="Arial" w:cs="Arial"/>
                <w:color w:val="0070C0"/>
                <w:sz w:val="18"/>
                <w:szCs w:val="18"/>
                <w:u w:val="single"/>
              </w:rPr>
              <w:t>sumde@qub.ac.uk</w:t>
            </w:r>
          </w:p>
        </w:tc>
      </w:tr>
      <w:tr>
        <w:tblPrEx>
          <w:tblCellMar>
            <w:top w:w="0" w:type="dxa"/>
            <w:left w:w="108" w:type="dxa"/>
            <w:bottom w:w="0" w:type="dxa"/>
            <w:right w:w="108" w:type="dxa"/>
          </w:tblCellMar>
        </w:tblPrEx>
        <w:trPr>
          <w:trHeight w:val="325" w:hRule="atLeast"/>
        </w:trPr>
        <w:tc>
          <w:tcPr>
            <w:tcW w:w="14184" w:type="dxa"/>
            <w:gridSpan w:val="4"/>
            <w:vMerge w:val="continue"/>
            <w:tcBorders>
              <w:top w:val="nil"/>
              <w:left w:val="nil"/>
              <w:bottom w:val="nil"/>
              <w:right w:val="nil"/>
            </w:tcBorders>
            <w:vAlign w:val="center"/>
          </w:tcPr>
          <w:p>
            <w:pPr>
              <w:contextualSpacing/>
              <w:rPr>
                <w:rFonts w:ascii="Arial" w:hAnsi="Arial" w:cs="Arial"/>
                <w:color w:val="000000"/>
                <w:sz w:val="20"/>
                <w:szCs w:val="20"/>
              </w:rPr>
            </w:pPr>
          </w:p>
        </w:tc>
      </w:tr>
      <w:tr>
        <w:tblPrEx>
          <w:tblCellMar>
            <w:top w:w="0" w:type="dxa"/>
            <w:left w:w="108" w:type="dxa"/>
            <w:bottom w:w="0" w:type="dxa"/>
            <w:right w:w="108" w:type="dxa"/>
          </w:tblCellMar>
        </w:tblPrEx>
        <w:trPr>
          <w:trHeight w:val="325" w:hRule="atLeast"/>
        </w:trPr>
        <w:tc>
          <w:tcPr>
            <w:tcW w:w="14184" w:type="dxa"/>
            <w:gridSpan w:val="4"/>
            <w:vMerge w:val="continue"/>
            <w:tcBorders>
              <w:top w:val="nil"/>
              <w:left w:val="nil"/>
              <w:bottom w:val="nil"/>
              <w:right w:val="nil"/>
            </w:tcBorders>
            <w:vAlign w:val="center"/>
          </w:tcPr>
          <w:p>
            <w:pPr>
              <w:contextualSpacing/>
              <w:rPr>
                <w:rFonts w:ascii="Arial" w:hAnsi="Arial" w:cs="Arial"/>
                <w:color w:val="000000"/>
                <w:sz w:val="20"/>
                <w:szCs w:val="20"/>
              </w:rPr>
            </w:pPr>
          </w:p>
        </w:tc>
      </w:tr>
      <w:tr>
        <w:tblPrEx>
          <w:tblCellMar>
            <w:top w:w="0" w:type="dxa"/>
            <w:left w:w="108" w:type="dxa"/>
            <w:bottom w:w="0" w:type="dxa"/>
            <w:right w:w="108" w:type="dxa"/>
          </w:tblCellMar>
        </w:tblPrEx>
        <w:trPr>
          <w:trHeight w:val="539" w:hRule="atLeast"/>
        </w:trPr>
        <w:tc>
          <w:tcPr>
            <w:tcW w:w="14184" w:type="dxa"/>
            <w:gridSpan w:val="4"/>
            <w:vMerge w:val="continue"/>
            <w:tcBorders>
              <w:top w:val="nil"/>
              <w:left w:val="nil"/>
              <w:bottom w:val="nil"/>
              <w:right w:val="nil"/>
            </w:tcBorders>
            <w:vAlign w:val="center"/>
          </w:tcPr>
          <w:p>
            <w:pPr>
              <w:contextualSpacing/>
              <w:rPr>
                <w:rFonts w:ascii="Arial" w:hAnsi="Arial" w:cs="Arial"/>
                <w:color w:val="000000"/>
                <w:sz w:val="20"/>
                <w:szCs w:val="20"/>
              </w:rPr>
            </w:pPr>
          </w:p>
        </w:tc>
      </w:tr>
    </w:tbl>
    <w:p>
      <w:pPr>
        <w:contextualSpacing/>
        <w:rPr>
          <w:rFonts w:ascii="Arial" w:hAnsi="Arial" w:cs="Arial"/>
          <w:sz w:val="20"/>
          <w:szCs w:val="20"/>
          <w:lang w:val="en-GB"/>
        </w:rPr>
      </w:pPr>
    </w:p>
    <w:sectPr>
      <w:pgSz w:w="16840" w:h="11907" w:orient="landscape"/>
      <w:pgMar w:top="1134" w:right="1134" w:bottom="1134" w:left="1134" w:header="567" w:footer="567"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rFonts w:ascii="Arial" w:hAnsi="Arial" w:cs="Arial"/>
        <w:sz w:val="20"/>
      </w:rPr>
    </w:pPr>
    <w:r>
      <w:rPr>
        <w:rFonts w:ascii="Arial" w:hAnsi="Arial" w:cs="Arial"/>
        <w:sz w:val="20"/>
      </w:rPr>
      <w:t xml:space="preserve">Page </w:t>
    </w:r>
    <w:r>
      <w:rPr>
        <w:rFonts w:ascii="Arial" w:hAnsi="Arial" w:cs="Arial"/>
        <w:bCs/>
        <w:sz w:val="20"/>
      </w:rPr>
      <w:fldChar w:fldCharType="begin"/>
    </w:r>
    <w:r>
      <w:rPr>
        <w:rFonts w:ascii="Arial" w:hAnsi="Arial" w:cs="Arial"/>
        <w:bCs/>
        <w:sz w:val="20"/>
      </w:rPr>
      <w:instrText xml:space="preserve"> PAGE </w:instrText>
    </w:r>
    <w:r>
      <w:rPr>
        <w:rFonts w:ascii="Arial" w:hAnsi="Arial" w:cs="Arial"/>
        <w:bCs/>
        <w:sz w:val="20"/>
      </w:rPr>
      <w:fldChar w:fldCharType="separate"/>
    </w:r>
    <w:r>
      <w:rPr>
        <w:rFonts w:ascii="Arial" w:hAnsi="Arial" w:cs="Arial"/>
        <w:bCs/>
        <w:sz w:val="20"/>
      </w:rPr>
      <w:t>4</w:t>
    </w:r>
    <w:r>
      <w:rPr>
        <w:rFonts w:ascii="Arial" w:hAnsi="Arial" w:cs="Arial"/>
        <w:bCs/>
        <w:sz w:val="20"/>
      </w:rPr>
      <w:fldChar w:fldCharType="end"/>
    </w:r>
    <w:r>
      <w:rPr>
        <w:rFonts w:ascii="Arial" w:hAnsi="Arial" w:cs="Arial"/>
        <w:sz w:val="20"/>
      </w:rPr>
      <w:t xml:space="preserve"> of </w:t>
    </w:r>
    <w:r>
      <w:rPr>
        <w:rFonts w:ascii="Arial" w:hAnsi="Arial" w:cs="Arial"/>
        <w:bCs/>
        <w:sz w:val="20"/>
      </w:rPr>
      <w:fldChar w:fldCharType="begin"/>
    </w:r>
    <w:r>
      <w:rPr>
        <w:rFonts w:ascii="Arial" w:hAnsi="Arial" w:cs="Arial"/>
        <w:bCs/>
        <w:sz w:val="20"/>
      </w:rPr>
      <w:instrText xml:space="preserve"> NUMPAGES  </w:instrText>
    </w:r>
    <w:r>
      <w:rPr>
        <w:rFonts w:ascii="Arial" w:hAnsi="Arial" w:cs="Arial"/>
        <w:bCs/>
        <w:sz w:val="20"/>
      </w:rPr>
      <w:fldChar w:fldCharType="separate"/>
    </w:r>
    <w:r>
      <w:rPr>
        <w:rFonts w:ascii="Arial" w:hAnsi="Arial" w:cs="Arial"/>
        <w:bCs/>
        <w:sz w:val="20"/>
      </w:rPr>
      <w:t>8</w:t>
    </w:r>
    <w:r>
      <w:rPr>
        <w:rFonts w:ascii="Arial" w:hAnsi="Arial" w:cs="Arial"/>
        <w:bCs/>
        <w:sz w:val="20"/>
      </w:rPr>
      <w:fldChar w:fldCharType="end"/>
    </w:r>
  </w:p>
  <w:p>
    <w:pPr>
      <w:pStyle w:val="19"/>
      <w:jc w:val="right"/>
      <w:rPr>
        <w:rFonts w:ascii="Arial" w:hAnsi="Arial" w:cs="Arial"/>
        <w:sz w:val="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36029"/>
    <w:multiLevelType w:val="multilevel"/>
    <w:tmpl w:val="37C36029"/>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
    <w:nsid w:val="64A71A5F"/>
    <w:multiLevelType w:val="multilevel"/>
    <w:tmpl w:val="64A71A5F"/>
    <w:lvl w:ilvl="0" w:tentative="0">
      <w:start w:val="3"/>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720"/>
        </w:tabs>
        <w:ind w:left="72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noPunctuationKerning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CAC"/>
    <w:rsid w:val="00001EC0"/>
    <w:rsid w:val="00002D4A"/>
    <w:rsid w:val="000035DF"/>
    <w:rsid w:val="0000365F"/>
    <w:rsid w:val="00004B58"/>
    <w:rsid w:val="00010C4D"/>
    <w:rsid w:val="00016637"/>
    <w:rsid w:val="000170C9"/>
    <w:rsid w:val="00017CF8"/>
    <w:rsid w:val="00022210"/>
    <w:rsid w:val="00024E1A"/>
    <w:rsid w:val="00027E14"/>
    <w:rsid w:val="00030B49"/>
    <w:rsid w:val="00031E60"/>
    <w:rsid w:val="00037118"/>
    <w:rsid w:val="0003736F"/>
    <w:rsid w:val="0004090B"/>
    <w:rsid w:val="00041068"/>
    <w:rsid w:val="000412EF"/>
    <w:rsid w:val="00047CF5"/>
    <w:rsid w:val="00052A7F"/>
    <w:rsid w:val="0005367A"/>
    <w:rsid w:val="000616D9"/>
    <w:rsid w:val="00062563"/>
    <w:rsid w:val="00062B5C"/>
    <w:rsid w:val="00063ABC"/>
    <w:rsid w:val="000640AB"/>
    <w:rsid w:val="00067B03"/>
    <w:rsid w:val="00076BBF"/>
    <w:rsid w:val="00080A8E"/>
    <w:rsid w:val="00080B3B"/>
    <w:rsid w:val="00084889"/>
    <w:rsid w:val="00085220"/>
    <w:rsid w:val="000866A0"/>
    <w:rsid w:val="0009152C"/>
    <w:rsid w:val="00092B0C"/>
    <w:rsid w:val="00093A6E"/>
    <w:rsid w:val="0009556E"/>
    <w:rsid w:val="00095995"/>
    <w:rsid w:val="000A026B"/>
    <w:rsid w:val="000A0B5D"/>
    <w:rsid w:val="000A1672"/>
    <w:rsid w:val="000A1F30"/>
    <w:rsid w:val="000A353D"/>
    <w:rsid w:val="000A6F44"/>
    <w:rsid w:val="000B05A7"/>
    <w:rsid w:val="000B4329"/>
    <w:rsid w:val="000B5FC0"/>
    <w:rsid w:val="000C0912"/>
    <w:rsid w:val="000C1D55"/>
    <w:rsid w:val="000C2A63"/>
    <w:rsid w:val="000C3624"/>
    <w:rsid w:val="000C7456"/>
    <w:rsid w:val="000C772B"/>
    <w:rsid w:val="000D2618"/>
    <w:rsid w:val="000D4C08"/>
    <w:rsid w:val="000E439B"/>
    <w:rsid w:val="000E741B"/>
    <w:rsid w:val="000F4184"/>
    <w:rsid w:val="000F47E6"/>
    <w:rsid w:val="000F5091"/>
    <w:rsid w:val="00103E55"/>
    <w:rsid w:val="00105989"/>
    <w:rsid w:val="001075AC"/>
    <w:rsid w:val="0011044D"/>
    <w:rsid w:val="0011086A"/>
    <w:rsid w:val="00116FD9"/>
    <w:rsid w:val="00117FD9"/>
    <w:rsid w:val="0012164C"/>
    <w:rsid w:val="0012191A"/>
    <w:rsid w:val="00130CE9"/>
    <w:rsid w:val="00132CBC"/>
    <w:rsid w:val="00134A2A"/>
    <w:rsid w:val="00135D4D"/>
    <w:rsid w:val="001369A2"/>
    <w:rsid w:val="001442C2"/>
    <w:rsid w:val="00153936"/>
    <w:rsid w:val="00165C5D"/>
    <w:rsid w:val="00166DF8"/>
    <w:rsid w:val="00177BA9"/>
    <w:rsid w:val="0019351B"/>
    <w:rsid w:val="00193BF0"/>
    <w:rsid w:val="001976B4"/>
    <w:rsid w:val="00197A15"/>
    <w:rsid w:val="001A31E8"/>
    <w:rsid w:val="001A62A0"/>
    <w:rsid w:val="001A687C"/>
    <w:rsid w:val="001A7471"/>
    <w:rsid w:val="001B188F"/>
    <w:rsid w:val="001B5990"/>
    <w:rsid w:val="001B60B0"/>
    <w:rsid w:val="001C04B8"/>
    <w:rsid w:val="001C2FD2"/>
    <w:rsid w:val="001C30AC"/>
    <w:rsid w:val="001C32A3"/>
    <w:rsid w:val="001D2E0C"/>
    <w:rsid w:val="001E1EB9"/>
    <w:rsid w:val="001E3A41"/>
    <w:rsid w:val="001E5735"/>
    <w:rsid w:val="001F1156"/>
    <w:rsid w:val="001F4E5C"/>
    <w:rsid w:val="001F7CF8"/>
    <w:rsid w:val="00201B28"/>
    <w:rsid w:val="00202F07"/>
    <w:rsid w:val="002041E1"/>
    <w:rsid w:val="00220533"/>
    <w:rsid w:val="002208CA"/>
    <w:rsid w:val="00221BC6"/>
    <w:rsid w:val="00223F22"/>
    <w:rsid w:val="0023502F"/>
    <w:rsid w:val="00235EFF"/>
    <w:rsid w:val="00236991"/>
    <w:rsid w:val="00237FA3"/>
    <w:rsid w:val="002411D5"/>
    <w:rsid w:val="00243215"/>
    <w:rsid w:val="00243C20"/>
    <w:rsid w:val="0024450E"/>
    <w:rsid w:val="00246DB8"/>
    <w:rsid w:val="00250027"/>
    <w:rsid w:val="00250F78"/>
    <w:rsid w:val="00251F56"/>
    <w:rsid w:val="00254AA3"/>
    <w:rsid w:val="00256221"/>
    <w:rsid w:val="00256E7A"/>
    <w:rsid w:val="00270FCB"/>
    <w:rsid w:val="0027111C"/>
    <w:rsid w:val="002727D3"/>
    <w:rsid w:val="0027760F"/>
    <w:rsid w:val="002776D0"/>
    <w:rsid w:val="00285D7D"/>
    <w:rsid w:val="00290F96"/>
    <w:rsid w:val="002A1424"/>
    <w:rsid w:val="002A4797"/>
    <w:rsid w:val="002A5126"/>
    <w:rsid w:val="002A622E"/>
    <w:rsid w:val="002B2801"/>
    <w:rsid w:val="002C0EB2"/>
    <w:rsid w:val="002C6CEB"/>
    <w:rsid w:val="002D02BB"/>
    <w:rsid w:val="002D371A"/>
    <w:rsid w:val="002D66A2"/>
    <w:rsid w:val="002D70EB"/>
    <w:rsid w:val="002E16F5"/>
    <w:rsid w:val="002F0CFC"/>
    <w:rsid w:val="002F48A2"/>
    <w:rsid w:val="00307E46"/>
    <w:rsid w:val="00310C45"/>
    <w:rsid w:val="0031177B"/>
    <w:rsid w:val="003119CC"/>
    <w:rsid w:val="00311B8D"/>
    <w:rsid w:val="0031392B"/>
    <w:rsid w:val="0031513C"/>
    <w:rsid w:val="003265FA"/>
    <w:rsid w:val="0033497A"/>
    <w:rsid w:val="00341330"/>
    <w:rsid w:val="00342AFA"/>
    <w:rsid w:val="00345739"/>
    <w:rsid w:val="00353E2F"/>
    <w:rsid w:val="00357F83"/>
    <w:rsid w:val="003607A5"/>
    <w:rsid w:val="003641D1"/>
    <w:rsid w:val="00364BB2"/>
    <w:rsid w:val="003668D4"/>
    <w:rsid w:val="00370AA8"/>
    <w:rsid w:val="003752F5"/>
    <w:rsid w:val="00377174"/>
    <w:rsid w:val="00393708"/>
    <w:rsid w:val="00395670"/>
    <w:rsid w:val="0039783A"/>
    <w:rsid w:val="003A0CC1"/>
    <w:rsid w:val="003A414B"/>
    <w:rsid w:val="003A4200"/>
    <w:rsid w:val="003B413C"/>
    <w:rsid w:val="003B57A4"/>
    <w:rsid w:val="003B7065"/>
    <w:rsid w:val="003B7276"/>
    <w:rsid w:val="003B7339"/>
    <w:rsid w:val="003C2F55"/>
    <w:rsid w:val="003D1F49"/>
    <w:rsid w:val="003D22F1"/>
    <w:rsid w:val="003D437F"/>
    <w:rsid w:val="003E4D29"/>
    <w:rsid w:val="003E4D90"/>
    <w:rsid w:val="003F05B5"/>
    <w:rsid w:val="003F073A"/>
    <w:rsid w:val="003F2D1A"/>
    <w:rsid w:val="003F6D36"/>
    <w:rsid w:val="0040127B"/>
    <w:rsid w:val="00403318"/>
    <w:rsid w:val="004051E4"/>
    <w:rsid w:val="00410893"/>
    <w:rsid w:val="0041127B"/>
    <w:rsid w:val="0041542B"/>
    <w:rsid w:val="00422C98"/>
    <w:rsid w:val="00426601"/>
    <w:rsid w:val="00426AC4"/>
    <w:rsid w:val="00435031"/>
    <w:rsid w:val="004375E3"/>
    <w:rsid w:val="004407C3"/>
    <w:rsid w:val="00440E36"/>
    <w:rsid w:val="004419CD"/>
    <w:rsid w:val="00442AB9"/>
    <w:rsid w:val="004440F8"/>
    <w:rsid w:val="0044752E"/>
    <w:rsid w:val="00460AD3"/>
    <w:rsid w:val="004654AC"/>
    <w:rsid w:val="00473754"/>
    <w:rsid w:val="0047490C"/>
    <w:rsid w:val="004749EC"/>
    <w:rsid w:val="00476BF3"/>
    <w:rsid w:val="00481E01"/>
    <w:rsid w:val="00483B38"/>
    <w:rsid w:val="0049038D"/>
    <w:rsid w:val="00496B29"/>
    <w:rsid w:val="004A3B9A"/>
    <w:rsid w:val="004A4609"/>
    <w:rsid w:val="004A4C99"/>
    <w:rsid w:val="004A62D7"/>
    <w:rsid w:val="004A7786"/>
    <w:rsid w:val="004B6469"/>
    <w:rsid w:val="004C1F10"/>
    <w:rsid w:val="004C59AF"/>
    <w:rsid w:val="004C7465"/>
    <w:rsid w:val="004D10C7"/>
    <w:rsid w:val="004D7D7B"/>
    <w:rsid w:val="004E1593"/>
    <w:rsid w:val="004E216C"/>
    <w:rsid w:val="004E41CB"/>
    <w:rsid w:val="004E5B41"/>
    <w:rsid w:val="004F378D"/>
    <w:rsid w:val="004F790F"/>
    <w:rsid w:val="00510822"/>
    <w:rsid w:val="00520816"/>
    <w:rsid w:val="00520C0F"/>
    <w:rsid w:val="00524948"/>
    <w:rsid w:val="005274EF"/>
    <w:rsid w:val="005311A5"/>
    <w:rsid w:val="0053429E"/>
    <w:rsid w:val="00535CF6"/>
    <w:rsid w:val="005450D6"/>
    <w:rsid w:val="005565A7"/>
    <w:rsid w:val="00556EAD"/>
    <w:rsid w:val="0055743F"/>
    <w:rsid w:val="00557C88"/>
    <w:rsid w:val="00580937"/>
    <w:rsid w:val="00580CF8"/>
    <w:rsid w:val="00581411"/>
    <w:rsid w:val="00581EA9"/>
    <w:rsid w:val="005906E1"/>
    <w:rsid w:val="00590FE5"/>
    <w:rsid w:val="00592EEE"/>
    <w:rsid w:val="0059550D"/>
    <w:rsid w:val="00595BA7"/>
    <w:rsid w:val="00595D82"/>
    <w:rsid w:val="005A3BE2"/>
    <w:rsid w:val="005A4456"/>
    <w:rsid w:val="005B0F39"/>
    <w:rsid w:val="005B3CD4"/>
    <w:rsid w:val="005B3DCE"/>
    <w:rsid w:val="005B5510"/>
    <w:rsid w:val="005C151E"/>
    <w:rsid w:val="005C1CCC"/>
    <w:rsid w:val="005C489C"/>
    <w:rsid w:val="005D2AEA"/>
    <w:rsid w:val="005E06D3"/>
    <w:rsid w:val="005F0976"/>
    <w:rsid w:val="005F3632"/>
    <w:rsid w:val="005F711F"/>
    <w:rsid w:val="00601C04"/>
    <w:rsid w:val="006103F9"/>
    <w:rsid w:val="00611795"/>
    <w:rsid w:val="00612CD0"/>
    <w:rsid w:val="006156F5"/>
    <w:rsid w:val="00622C6F"/>
    <w:rsid w:val="00623CE1"/>
    <w:rsid w:val="00626335"/>
    <w:rsid w:val="00626FA3"/>
    <w:rsid w:val="006301BA"/>
    <w:rsid w:val="00633B3D"/>
    <w:rsid w:val="0063728E"/>
    <w:rsid w:val="00641306"/>
    <w:rsid w:val="00641C0D"/>
    <w:rsid w:val="00642867"/>
    <w:rsid w:val="0064292A"/>
    <w:rsid w:val="00654B50"/>
    <w:rsid w:val="006557C9"/>
    <w:rsid w:val="00656445"/>
    <w:rsid w:val="006610E9"/>
    <w:rsid w:val="00664013"/>
    <w:rsid w:val="0066408E"/>
    <w:rsid w:val="00664B6F"/>
    <w:rsid w:val="00667E0E"/>
    <w:rsid w:val="00672214"/>
    <w:rsid w:val="00672931"/>
    <w:rsid w:val="00674EFB"/>
    <w:rsid w:val="00681BEB"/>
    <w:rsid w:val="00683755"/>
    <w:rsid w:val="006847FC"/>
    <w:rsid w:val="006850A0"/>
    <w:rsid w:val="00686731"/>
    <w:rsid w:val="00687E8E"/>
    <w:rsid w:val="00690566"/>
    <w:rsid w:val="006948EC"/>
    <w:rsid w:val="006B3B17"/>
    <w:rsid w:val="006B4126"/>
    <w:rsid w:val="006B4E2A"/>
    <w:rsid w:val="006B585A"/>
    <w:rsid w:val="006B75C2"/>
    <w:rsid w:val="006B7790"/>
    <w:rsid w:val="006C06CF"/>
    <w:rsid w:val="006C1F03"/>
    <w:rsid w:val="006C6949"/>
    <w:rsid w:val="006D4350"/>
    <w:rsid w:val="006D73C3"/>
    <w:rsid w:val="006E0DF5"/>
    <w:rsid w:val="006E3C39"/>
    <w:rsid w:val="006E5A00"/>
    <w:rsid w:val="006E5C75"/>
    <w:rsid w:val="006E688A"/>
    <w:rsid w:val="006F543C"/>
    <w:rsid w:val="007068BA"/>
    <w:rsid w:val="007103C7"/>
    <w:rsid w:val="007132AF"/>
    <w:rsid w:val="007307E4"/>
    <w:rsid w:val="0073092E"/>
    <w:rsid w:val="00730C6F"/>
    <w:rsid w:val="00732CDB"/>
    <w:rsid w:val="00732CF7"/>
    <w:rsid w:val="007335B3"/>
    <w:rsid w:val="00734D8F"/>
    <w:rsid w:val="00735BCA"/>
    <w:rsid w:val="00737CFE"/>
    <w:rsid w:val="00740700"/>
    <w:rsid w:val="0074268C"/>
    <w:rsid w:val="00742EC1"/>
    <w:rsid w:val="007443A0"/>
    <w:rsid w:val="007448DE"/>
    <w:rsid w:val="00747D11"/>
    <w:rsid w:val="00755484"/>
    <w:rsid w:val="00760508"/>
    <w:rsid w:val="00760AB1"/>
    <w:rsid w:val="00762103"/>
    <w:rsid w:val="0077208F"/>
    <w:rsid w:val="007738A8"/>
    <w:rsid w:val="00781863"/>
    <w:rsid w:val="00781E87"/>
    <w:rsid w:val="00784E89"/>
    <w:rsid w:val="007922AC"/>
    <w:rsid w:val="007941E8"/>
    <w:rsid w:val="00797BDE"/>
    <w:rsid w:val="00797CB0"/>
    <w:rsid w:val="007A2100"/>
    <w:rsid w:val="007A2544"/>
    <w:rsid w:val="007A627E"/>
    <w:rsid w:val="007A7117"/>
    <w:rsid w:val="007B204C"/>
    <w:rsid w:val="007C0EAB"/>
    <w:rsid w:val="007C0FAC"/>
    <w:rsid w:val="007C5E4A"/>
    <w:rsid w:val="007C6296"/>
    <w:rsid w:val="007D104D"/>
    <w:rsid w:val="007D4AF1"/>
    <w:rsid w:val="007D7783"/>
    <w:rsid w:val="007E192F"/>
    <w:rsid w:val="007F59F3"/>
    <w:rsid w:val="00810433"/>
    <w:rsid w:val="00813601"/>
    <w:rsid w:val="008147DD"/>
    <w:rsid w:val="00815BED"/>
    <w:rsid w:val="00817B85"/>
    <w:rsid w:val="00820C37"/>
    <w:rsid w:val="00822960"/>
    <w:rsid w:val="0082537A"/>
    <w:rsid w:val="00827722"/>
    <w:rsid w:val="00827771"/>
    <w:rsid w:val="00830B1C"/>
    <w:rsid w:val="0083227C"/>
    <w:rsid w:val="00836BCF"/>
    <w:rsid w:val="008426A3"/>
    <w:rsid w:val="00843C4E"/>
    <w:rsid w:val="0084756C"/>
    <w:rsid w:val="008551BE"/>
    <w:rsid w:val="00855434"/>
    <w:rsid w:val="0085767B"/>
    <w:rsid w:val="00860E24"/>
    <w:rsid w:val="00862C4C"/>
    <w:rsid w:val="00865A76"/>
    <w:rsid w:val="008668C3"/>
    <w:rsid w:val="00871655"/>
    <w:rsid w:val="00871E79"/>
    <w:rsid w:val="00872B0F"/>
    <w:rsid w:val="0087436D"/>
    <w:rsid w:val="00880C38"/>
    <w:rsid w:val="008A00F0"/>
    <w:rsid w:val="008A1A88"/>
    <w:rsid w:val="008A33A2"/>
    <w:rsid w:val="008B0F46"/>
    <w:rsid w:val="008B1201"/>
    <w:rsid w:val="008B1B46"/>
    <w:rsid w:val="008B49C2"/>
    <w:rsid w:val="008B6561"/>
    <w:rsid w:val="008B77B3"/>
    <w:rsid w:val="008C108A"/>
    <w:rsid w:val="008C1262"/>
    <w:rsid w:val="008C1268"/>
    <w:rsid w:val="008C2D58"/>
    <w:rsid w:val="008C2EA2"/>
    <w:rsid w:val="008C498E"/>
    <w:rsid w:val="008C7D55"/>
    <w:rsid w:val="008D156D"/>
    <w:rsid w:val="008D3038"/>
    <w:rsid w:val="008D3E88"/>
    <w:rsid w:val="008D4F49"/>
    <w:rsid w:val="008D50D8"/>
    <w:rsid w:val="008D6279"/>
    <w:rsid w:val="008E0622"/>
    <w:rsid w:val="008E0949"/>
    <w:rsid w:val="008E3E91"/>
    <w:rsid w:val="008E46AC"/>
    <w:rsid w:val="008E53BD"/>
    <w:rsid w:val="008F1172"/>
    <w:rsid w:val="008F68EC"/>
    <w:rsid w:val="008F6DD4"/>
    <w:rsid w:val="00900321"/>
    <w:rsid w:val="0090546C"/>
    <w:rsid w:val="0090671E"/>
    <w:rsid w:val="00906CB7"/>
    <w:rsid w:val="009125B5"/>
    <w:rsid w:val="00913A87"/>
    <w:rsid w:val="00913E2A"/>
    <w:rsid w:val="00915538"/>
    <w:rsid w:val="00915A45"/>
    <w:rsid w:val="00915BE8"/>
    <w:rsid w:val="00917885"/>
    <w:rsid w:val="00923AF0"/>
    <w:rsid w:val="009240DC"/>
    <w:rsid w:val="0094220E"/>
    <w:rsid w:val="009429D6"/>
    <w:rsid w:val="00952066"/>
    <w:rsid w:val="00956315"/>
    <w:rsid w:val="009565A0"/>
    <w:rsid w:val="00967AA8"/>
    <w:rsid w:val="00971EA3"/>
    <w:rsid w:val="00974387"/>
    <w:rsid w:val="009758DC"/>
    <w:rsid w:val="00983C3E"/>
    <w:rsid w:val="009876A8"/>
    <w:rsid w:val="00991F00"/>
    <w:rsid w:val="0099480A"/>
    <w:rsid w:val="009A5E97"/>
    <w:rsid w:val="009A640E"/>
    <w:rsid w:val="009A6D8D"/>
    <w:rsid w:val="009A6FF9"/>
    <w:rsid w:val="009B07B0"/>
    <w:rsid w:val="009B4FEC"/>
    <w:rsid w:val="009B6F77"/>
    <w:rsid w:val="009C1AE0"/>
    <w:rsid w:val="009C2A5E"/>
    <w:rsid w:val="009C3C25"/>
    <w:rsid w:val="009D0D0E"/>
    <w:rsid w:val="009D0E29"/>
    <w:rsid w:val="009D153D"/>
    <w:rsid w:val="009D58DE"/>
    <w:rsid w:val="009E3945"/>
    <w:rsid w:val="009E3FB3"/>
    <w:rsid w:val="009E76C1"/>
    <w:rsid w:val="009F2A8B"/>
    <w:rsid w:val="009F3F7D"/>
    <w:rsid w:val="009F45C8"/>
    <w:rsid w:val="009F6361"/>
    <w:rsid w:val="009F651E"/>
    <w:rsid w:val="00A00B78"/>
    <w:rsid w:val="00A023BF"/>
    <w:rsid w:val="00A04494"/>
    <w:rsid w:val="00A051AC"/>
    <w:rsid w:val="00A15790"/>
    <w:rsid w:val="00A17C91"/>
    <w:rsid w:val="00A20E3D"/>
    <w:rsid w:val="00A24167"/>
    <w:rsid w:val="00A277A5"/>
    <w:rsid w:val="00A27D50"/>
    <w:rsid w:val="00A304E4"/>
    <w:rsid w:val="00A310F4"/>
    <w:rsid w:val="00A35F36"/>
    <w:rsid w:val="00A45550"/>
    <w:rsid w:val="00A525A8"/>
    <w:rsid w:val="00A535FB"/>
    <w:rsid w:val="00A5476D"/>
    <w:rsid w:val="00A61701"/>
    <w:rsid w:val="00A62004"/>
    <w:rsid w:val="00A64EA1"/>
    <w:rsid w:val="00A71713"/>
    <w:rsid w:val="00A74447"/>
    <w:rsid w:val="00A74B99"/>
    <w:rsid w:val="00A77AC4"/>
    <w:rsid w:val="00A80789"/>
    <w:rsid w:val="00A80A81"/>
    <w:rsid w:val="00A83AD0"/>
    <w:rsid w:val="00A93590"/>
    <w:rsid w:val="00AA51EA"/>
    <w:rsid w:val="00AB0CA7"/>
    <w:rsid w:val="00AB3E18"/>
    <w:rsid w:val="00AB486F"/>
    <w:rsid w:val="00AB75D5"/>
    <w:rsid w:val="00AC0861"/>
    <w:rsid w:val="00AC2974"/>
    <w:rsid w:val="00AC6B5A"/>
    <w:rsid w:val="00AC7484"/>
    <w:rsid w:val="00AD268E"/>
    <w:rsid w:val="00AD2998"/>
    <w:rsid w:val="00AD4388"/>
    <w:rsid w:val="00AD6A0C"/>
    <w:rsid w:val="00AE22E9"/>
    <w:rsid w:val="00AE380F"/>
    <w:rsid w:val="00AE7014"/>
    <w:rsid w:val="00AF287B"/>
    <w:rsid w:val="00AF3FC3"/>
    <w:rsid w:val="00B023FF"/>
    <w:rsid w:val="00B068B3"/>
    <w:rsid w:val="00B068EB"/>
    <w:rsid w:val="00B130BE"/>
    <w:rsid w:val="00B1712E"/>
    <w:rsid w:val="00B2144F"/>
    <w:rsid w:val="00B21BA3"/>
    <w:rsid w:val="00B2208A"/>
    <w:rsid w:val="00B252C5"/>
    <w:rsid w:val="00B30145"/>
    <w:rsid w:val="00B301F0"/>
    <w:rsid w:val="00B3054F"/>
    <w:rsid w:val="00B32C89"/>
    <w:rsid w:val="00B41524"/>
    <w:rsid w:val="00B41AFA"/>
    <w:rsid w:val="00B41E42"/>
    <w:rsid w:val="00B41F98"/>
    <w:rsid w:val="00B43367"/>
    <w:rsid w:val="00B50448"/>
    <w:rsid w:val="00B505A8"/>
    <w:rsid w:val="00B51CCD"/>
    <w:rsid w:val="00B53807"/>
    <w:rsid w:val="00B54C83"/>
    <w:rsid w:val="00B57F4C"/>
    <w:rsid w:val="00B622FB"/>
    <w:rsid w:val="00B64B6A"/>
    <w:rsid w:val="00B65A2C"/>
    <w:rsid w:val="00B66921"/>
    <w:rsid w:val="00B7357C"/>
    <w:rsid w:val="00B82FD4"/>
    <w:rsid w:val="00B83473"/>
    <w:rsid w:val="00B83E58"/>
    <w:rsid w:val="00B85CDB"/>
    <w:rsid w:val="00B919B8"/>
    <w:rsid w:val="00B932B7"/>
    <w:rsid w:val="00BA38E0"/>
    <w:rsid w:val="00BA3D54"/>
    <w:rsid w:val="00BA44C2"/>
    <w:rsid w:val="00BA5747"/>
    <w:rsid w:val="00BA65D9"/>
    <w:rsid w:val="00BB57D7"/>
    <w:rsid w:val="00BC15BB"/>
    <w:rsid w:val="00BC32A8"/>
    <w:rsid w:val="00BC4090"/>
    <w:rsid w:val="00BC4EB5"/>
    <w:rsid w:val="00BC611F"/>
    <w:rsid w:val="00BC72AE"/>
    <w:rsid w:val="00BC74D6"/>
    <w:rsid w:val="00BD20CC"/>
    <w:rsid w:val="00BE1BE4"/>
    <w:rsid w:val="00BE4E08"/>
    <w:rsid w:val="00BF1FC3"/>
    <w:rsid w:val="00BF2C92"/>
    <w:rsid w:val="00BF2D4D"/>
    <w:rsid w:val="00BF3178"/>
    <w:rsid w:val="00BF3D92"/>
    <w:rsid w:val="00C00BCA"/>
    <w:rsid w:val="00C06467"/>
    <w:rsid w:val="00C113F0"/>
    <w:rsid w:val="00C13102"/>
    <w:rsid w:val="00C153AE"/>
    <w:rsid w:val="00C206E3"/>
    <w:rsid w:val="00C206EB"/>
    <w:rsid w:val="00C2172D"/>
    <w:rsid w:val="00C22335"/>
    <w:rsid w:val="00C22889"/>
    <w:rsid w:val="00C22E0F"/>
    <w:rsid w:val="00C24566"/>
    <w:rsid w:val="00C26819"/>
    <w:rsid w:val="00C26E2D"/>
    <w:rsid w:val="00C278AE"/>
    <w:rsid w:val="00C31F2C"/>
    <w:rsid w:val="00C36E0C"/>
    <w:rsid w:val="00C413EA"/>
    <w:rsid w:val="00C419F8"/>
    <w:rsid w:val="00C46A61"/>
    <w:rsid w:val="00C47B36"/>
    <w:rsid w:val="00C50A56"/>
    <w:rsid w:val="00C56525"/>
    <w:rsid w:val="00C566D7"/>
    <w:rsid w:val="00C6162D"/>
    <w:rsid w:val="00C64C06"/>
    <w:rsid w:val="00C67834"/>
    <w:rsid w:val="00C7754C"/>
    <w:rsid w:val="00C8377F"/>
    <w:rsid w:val="00C85D88"/>
    <w:rsid w:val="00C86D1E"/>
    <w:rsid w:val="00C94A7F"/>
    <w:rsid w:val="00C979B5"/>
    <w:rsid w:val="00C97EE6"/>
    <w:rsid w:val="00CA5F82"/>
    <w:rsid w:val="00CA780A"/>
    <w:rsid w:val="00CB1234"/>
    <w:rsid w:val="00CB1571"/>
    <w:rsid w:val="00CB2378"/>
    <w:rsid w:val="00CB2FF1"/>
    <w:rsid w:val="00CB3C11"/>
    <w:rsid w:val="00CB5448"/>
    <w:rsid w:val="00CD0409"/>
    <w:rsid w:val="00CD3192"/>
    <w:rsid w:val="00CD6E7C"/>
    <w:rsid w:val="00CE12C4"/>
    <w:rsid w:val="00CE2277"/>
    <w:rsid w:val="00CE22C9"/>
    <w:rsid w:val="00CE2E4E"/>
    <w:rsid w:val="00CE76EF"/>
    <w:rsid w:val="00CF1974"/>
    <w:rsid w:val="00CF5E16"/>
    <w:rsid w:val="00D00EBD"/>
    <w:rsid w:val="00D01FA6"/>
    <w:rsid w:val="00D03985"/>
    <w:rsid w:val="00D04CAC"/>
    <w:rsid w:val="00D07B43"/>
    <w:rsid w:val="00D11CB9"/>
    <w:rsid w:val="00D169C4"/>
    <w:rsid w:val="00D33689"/>
    <w:rsid w:val="00D3590D"/>
    <w:rsid w:val="00D35C17"/>
    <w:rsid w:val="00D375D3"/>
    <w:rsid w:val="00D43D87"/>
    <w:rsid w:val="00D454BD"/>
    <w:rsid w:val="00D45798"/>
    <w:rsid w:val="00D518E3"/>
    <w:rsid w:val="00D51A60"/>
    <w:rsid w:val="00D57288"/>
    <w:rsid w:val="00D60094"/>
    <w:rsid w:val="00D61C9C"/>
    <w:rsid w:val="00D72757"/>
    <w:rsid w:val="00D72B37"/>
    <w:rsid w:val="00D76552"/>
    <w:rsid w:val="00D812F5"/>
    <w:rsid w:val="00D83ECB"/>
    <w:rsid w:val="00D852E8"/>
    <w:rsid w:val="00D8747F"/>
    <w:rsid w:val="00D90EE3"/>
    <w:rsid w:val="00D95465"/>
    <w:rsid w:val="00D95632"/>
    <w:rsid w:val="00D95A98"/>
    <w:rsid w:val="00D96699"/>
    <w:rsid w:val="00DA177B"/>
    <w:rsid w:val="00DA46A5"/>
    <w:rsid w:val="00DA4A49"/>
    <w:rsid w:val="00DA5448"/>
    <w:rsid w:val="00DB2948"/>
    <w:rsid w:val="00DB2BBF"/>
    <w:rsid w:val="00DB3C0E"/>
    <w:rsid w:val="00DC3FE1"/>
    <w:rsid w:val="00DC4619"/>
    <w:rsid w:val="00DC5B87"/>
    <w:rsid w:val="00DC5FA6"/>
    <w:rsid w:val="00DC673A"/>
    <w:rsid w:val="00DD0D12"/>
    <w:rsid w:val="00DD0F68"/>
    <w:rsid w:val="00DE017E"/>
    <w:rsid w:val="00DE276E"/>
    <w:rsid w:val="00DF0242"/>
    <w:rsid w:val="00DF16D0"/>
    <w:rsid w:val="00DF3596"/>
    <w:rsid w:val="00DF36BF"/>
    <w:rsid w:val="00DF4B1D"/>
    <w:rsid w:val="00E007D2"/>
    <w:rsid w:val="00E07ACF"/>
    <w:rsid w:val="00E215CB"/>
    <w:rsid w:val="00E24EDE"/>
    <w:rsid w:val="00E301C8"/>
    <w:rsid w:val="00E40260"/>
    <w:rsid w:val="00E43300"/>
    <w:rsid w:val="00E50389"/>
    <w:rsid w:val="00E5099C"/>
    <w:rsid w:val="00E5395E"/>
    <w:rsid w:val="00E55615"/>
    <w:rsid w:val="00E56AFE"/>
    <w:rsid w:val="00E56C9F"/>
    <w:rsid w:val="00E61937"/>
    <w:rsid w:val="00E6434E"/>
    <w:rsid w:val="00E709B3"/>
    <w:rsid w:val="00E739A8"/>
    <w:rsid w:val="00E80B8B"/>
    <w:rsid w:val="00E8540B"/>
    <w:rsid w:val="00E8643E"/>
    <w:rsid w:val="00E9016E"/>
    <w:rsid w:val="00EA1B7E"/>
    <w:rsid w:val="00EA3581"/>
    <w:rsid w:val="00EA5A07"/>
    <w:rsid w:val="00EB36F9"/>
    <w:rsid w:val="00EB3752"/>
    <w:rsid w:val="00EB5180"/>
    <w:rsid w:val="00EB5333"/>
    <w:rsid w:val="00EB7BC1"/>
    <w:rsid w:val="00EC0D37"/>
    <w:rsid w:val="00EC15BF"/>
    <w:rsid w:val="00EC2B4F"/>
    <w:rsid w:val="00EC61F9"/>
    <w:rsid w:val="00ED08FB"/>
    <w:rsid w:val="00ED4595"/>
    <w:rsid w:val="00EE034C"/>
    <w:rsid w:val="00EE2753"/>
    <w:rsid w:val="00EE4D20"/>
    <w:rsid w:val="00EE53F5"/>
    <w:rsid w:val="00EE65A0"/>
    <w:rsid w:val="00EE6EF0"/>
    <w:rsid w:val="00EF0B83"/>
    <w:rsid w:val="00EF2462"/>
    <w:rsid w:val="00EF26B9"/>
    <w:rsid w:val="00EF2BAB"/>
    <w:rsid w:val="00EF347E"/>
    <w:rsid w:val="00EF71F5"/>
    <w:rsid w:val="00EF7A35"/>
    <w:rsid w:val="00F0344A"/>
    <w:rsid w:val="00F07364"/>
    <w:rsid w:val="00F10E02"/>
    <w:rsid w:val="00F11C38"/>
    <w:rsid w:val="00F1765A"/>
    <w:rsid w:val="00F21E27"/>
    <w:rsid w:val="00F22F90"/>
    <w:rsid w:val="00F2302F"/>
    <w:rsid w:val="00F25E7B"/>
    <w:rsid w:val="00F26C0B"/>
    <w:rsid w:val="00F34D03"/>
    <w:rsid w:val="00F34E53"/>
    <w:rsid w:val="00F358C3"/>
    <w:rsid w:val="00F407B3"/>
    <w:rsid w:val="00F41531"/>
    <w:rsid w:val="00F42754"/>
    <w:rsid w:val="00F436C3"/>
    <w:rsid w:val="00F4384C"/>
    <w:rsid w:val="00F43DCF"/>
    <w:rsid w:val="00F51932"/>
    <w:rsid w:val="00F52A1B"/>
    <w:rsid w:val="00F53764"/>
    <w:rsid w:val="00F53887"/>
    <w:rsid w:val="00F5395E"/>
    <w:rsid w:val="00F53AA6"/>
    <w:rsid w:val="00F71CB9"/>
    <w:rsid w:val="00F80139"/>
    <w:rsid w:val="00F839FC"/>
    <w:rsid w:val="00F8424F"/>
    <w:rsid w:val="00F9537A"/>
    <w:rsid w:val="00FA09F1"/>
    <w:rsid w:val="00FA0FFF"/>
    <w:rsid w:val="00FA1634"/>
    <w:rsid w:val="00FA3CDC"/>
    <w:rsid w:val="00FB0A1A"/>
    <w:rsid w:val="00FB2B90"/>
    <w:rsid w:val="00FC1028"/>
    <w:rsid w:val="00FC1356"/>
    <w:rsid w:val="00FC2021"/>
    <w:rsid w:val="00FC2132"/>
    <w:rsid w:val="00FC393D"/>
    <w:rsid w:val="00FC3AC8"/>
    <w:rsid w:val="00FC4211"/>
    <w:rsid w:val="00FC6ACA"/>
    <w:rsid w:val="00FD395F"/>
    <w:rsid w:val="00FD4F10"/>
    <w:rsid w:val="00FD5AF7"/>
    <w:rsid w:val="00FE345C"/>
    <w:rsid w:val="00FF04C7"/>
    <w:rsid w:val="00FF214E"/>
    <w:rsid w:val="00FF2387"/>
    <w:rsid w:val="00FF31C0"/>
    <w:rsid w:val="00FF43F8"/>
    <w:rsid w:val="00FF4E6E"/>
    <w:rsid w:val="00FF7A96"/>
    <w:rsid w:val="79BF165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30"/>
    <w:qFormat/>
    <w:uiPriority w:val="0"/>
    <w:pPr>
      <w:keepNext/>
      <w:numPr>
        <w:ilvl w:val="0"/>
        <w:numId w:val="1"/>
      </w:numPr>
      <w:jc w:val="center"/>
      <w:outlineLvl w:val="0"/>
    </w:pPr>
    <w:rPr>
      <w:b/>
      <w:szCs w:val="20"/>
      <w:lang w:val="en-GB"/>
    </w:rPr>
  </w:style>
  <w:style w:type="paragraph" w:styleId="3">
    <w:name w:val="heading 2"/>
    <w:basedOn w:val="1"/>
    <w:next w:val="1"/>
    <w:qFormat/>
    <w:uiPriority w:val="0"/>
    <w:pPr>
      <w:keepNext/>
      <w:numPr>
        <w:ilvl w:val="1"/>
        <w:numId w:val="1"/>
      </w:numPr>
      <w:spacing w:before="240" w:after="60"/>
      <w:outlineLvl w:val="1"/>
    </w:pPr>
    <w:rPr>
      <w:rFonts w:ascii="Arial" w:hAnsi="Arial"/>
      <w:b/>
      <w:i/>
      <w:szCs w:val="20"/>
      <w:lang w:val="en-AU"/>
    </w:rPr>
  </w:style>
  <w:style w:type="paragraph" w:styleId="4">
    <w:name w:val="heading 3"/>
    <w:basedOn w:val="1"/>
    <w:next w:val="1"/>
    <w:qFormat/>
    <w:uiPriority w:val="0"/>
    <w:pPr>
      <w:keepNext/>
      <w:numPr>
        <w:ilvl w:val="2"/>
        <w:numId w:val="1"/>
      </w:numPr>
      <w:spacing w:before="240" w:after="60"/>
      <w:outlineLvl w:val="2"/>
    </w:pPr>
    <w:rPr>
      <w:rFonts w:ascii="Arial" w:hAnsi="Arial"/>
      <w:szCs w:val="20"/>
      <w:lang w:val="en-AU"/>
    </w:rPr>
  </w:style>
  <w:style w:type="paragraph" w:styleId="5">
    <w:name w:val="heading 4"/>
    <w:basedOn w:val="1"/>
    <w:next w:val="1"/>
    <w:qFormat/>
    <w:uiPriority w:val="0"/>
    <w:pPr>
      <w:keepNext/>
      <w:numPr>
        <w:ilvl w:val="3"/>
        <w:numId w:val="1"/>
      </w:numPr>
      <w:spacing w:before="240" w:after="60"/>
      <w:outlineLvl w:val="3"/>
    </w:pPr>
    <w:rPr>
      <w:rFonts w:ascii="Arial" w:hAnsi="Arial"/>
      <w:b/>
      <w:szCs w:val="20"/>
      <w:lang w:val="en-AU"/>
    </w:rPr>
  </w:style>
  <w:style w:type="paragraph" w:styleId="6">
    <w:name w:val="heading 5"/>
    <w:basedOn w:val="1"/>
    <w:next w:val="1"/>
    <w:qFormat/>
    <w:uiPriority w:val="0"/>
    <w:pPr>
      <w:numPr>
        <w:ilvl w:val="4"/>
        <w:numId w:val="1"/>
      </w:numPr>
      <w:spacing w:before="240" w:after="60"/>
      <w:outlineLvl w:val="4"/>
    </w:pPr>
    <w:rPr>
      <w:sz w:val="22"/>
      <w:szCs w:val="20"/>
      <w:lang w:val="en-AU"/>
    </w:rPr>
  </w:style>
  <w:style w:type="paragraph" w:styleId="7">
    <w:name w:val="heading 6"/>
    <w:basedOn w:val="1"/>
    <w:next w:val="1"/>
    <w:qFormat/>
    <w:uiPriority w:val="0"/>
    <w:pPr>
      <w:numPr>
        <w:ilvl w:val="5"/>
        <w:numId w:val="1"/>
      </w:numPr>
      <w:spacing w:before="240" w:after="60"/>
      <w:outlineLvl w:val="5"/>
    </w:pPr>
    <w:rPr>
      <w:i/>
      <w:sz w:val="22"/>
      <w:szCs w:val="20"/>
      <w:lang w:val="en-AU"/>
    </w:rPr>
  </w:style>
  <w:style w:type="paragraph" w:styleId="8">
    <w:name w:val="heading 7"/>
    <w:basedOn w:val="1"/>
    <w:next w:val="1"/>
    <w:qFormat/>
    <w:uiPriority w:val="0"/>
    <w:pPr>
      <w:numPr>
        <w:ilvl w:val="6"/>
        <w:numId w:val="1"/>
      </w:numPr>
      <w:spacing w:before="240" w:after="60"/>
      <w:outlineLvl w:val="6"/>
    </w:pPr>
    <w:rPr>
      <w:rFonts w:ascii="Arial" w:hAnsi="Arial"/>
      <w:sz w:val="20"/>
      <w:szCs w:val="20"/>
      <w:lang w:val="en-AU"/>
    </w:rPr>
  </w:style>
  <w:style w:type="paragraph" w:styleId="9">
    <w:name w:val="heading 8"/>
    <w:basedOn w:val="1"/>
    <w:next w:val="1"/>
    <w:qFormat/>
    <w:uiPriority w:val="0"/>
    <w:pPr>
      <w:numPr>
        <w:ilvl w:val="7"/>
        <w:numId w:val="1"/>
      </w:numPr>
      <w:spacing w:before="240" w:after="60"/>
      <w:outlineLvl w:val="7"/>
    </w:pPr>
    <w:rPr>
      <w:rFonts w:ascii="Arial" w:hAnsi="Arial"/>
      <w:i/>
      <w:sz w:val="20"/>
      <w:szCs w:val="20"/>
      <w:lang w:val="en-AU"/>
    </w:rPr>
  </w:style>
  <w:style w:type="paragraph" w:styleId="10">
    <w:name w:val="heading 9"/>
    <w:basedOn w:val="1"/>
    <w:next w:val="1"/>
    <w:qFormat/>
    <w:uiPriority w:val="0"/>
    <w:pPr>
      <w:numPr>
        <w:ilvl w:val="8"/>
        <w:numId w:val="1"/>
      </w:numPr>
      <w:spacing w:before="240" w:after="60"/>
      <w:outlineLvl w:val="8"/>
    </w:pPr>
    <w:rPr>
      <w:rFonts w:ascii="Arial" w:hAnsi="Arial"/>
      <w:b/>
      <w:i/>
      <w:sz w:val="18"/>
      <w:szCs w:val="20"/>
      <w:lang w:val="en-AU"/>
    </w:rPr>
  </w:style>
  <w:style w:type="character" w:default="1" w:styleId="22">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Balloon Text"/>
    <w:basedOn w:val="1"/>
    <w:semiHidden/>
    <w:qFormat/>
    <w:uiPriority w:val="0"/>
    <w:rPr>
      <w:rFonts w:ascii="Tahoma" w:hAnsi="Tahoma" w:cs="Tahoma"/>
      <w:sz w:val="16"/>
      <w:szCs w:val="16"/>
    </w:rPr>
  </w:style>
  <w:style w:type="paragraph" w:styleId="12">
    <w:name w:val="Body Text"/>
    <w:basedOn w:val="1"/>
    <w:qFormat/>
    <w:uiPriority w:val="0"/>
    <w:pPr>
      <w:tabs>
        <w:tab w:val="left" w:pos="567"/>
      </w:tabs>
    </w:pPr>
    <w:rPr>
      <w:sz w:val="20"/>
      <w:szCs w:val="20"/>
      <w:lang w:val="en-GB"/>
    </w:rPr>
  </w:style>
  <w:style w:type="paragraph" w:styleId="13">
    <w:name w:val="Body Text Indent 2"/>
    <w:basedOn w:val="1"/>
    <w:qFormat/>
    <w:uiPriority w:val="0"/>
    <w:pPr>
      <w:tabs>
        <w:tab w:val="left" w:pos="567"/>
      </w:tabs>
      <w:ind w:left="851" w:hanging="425"/>
    </w:pPr>
    <w:rPr>
      <w:sz w:val="20"/>
      <w:szCs w:val="20"/>
      <w:lang w:val="en-GB"/>
    </w:rPr>
  </w:style>
  <w:style w:type="paragraph" w:styleId="14">
    <w:name w:val="Body Text Indent 3"/>
    <w:basedOn w:val="1"/>
    <w:qFormat/>
    <w:uiPriority w:val="0"/>
    <w:pPr>
      <w:ind w:left="426"/>
    </w:pPr>
    <w:rPr>
      <w:rFonts w:ascii="Arial" w:hAnsi="Arial" w:cs="Arial"/>
      <w:sz w:val="22"/>
      <w:szCs w:val="20"/>
      <w:lang w:val="en-GB"/>
    </w:rPr>
  </w:style>
  <w:style w:type="paragraph" w:styleId="15">
    <w:name w:val="caption"/>
    <w:basedOn w:val="1"/>
    <w:next w:val="1"/>
    <w:semiHidden/>
    <w:unhideWhenUsed/>
    <w:qFormat/>
    <w:uiPriority w:val="0"/>
    <w:pPr>
      <w:spacing w:after="200"/>
    </w:pPr>
    <w:rPr>
      <w:i/>
      <w:iCs/>
      <w:color w:val="44546A" w:themeColor="text2"/>
      <w:sz w:val="18"/>
      <w:szCs w:val="18"/>
      <w14:textFill>
        <w14:solidFill>
          <w14:schemeClr w14:val="tx2"/>
        </w14:solidFill>
      </w14:textFill>
    </w:rPr>
  </w:style>
  <w:style w:type="paragraph" w:styleId="16">
    <w:name w:val="annotation text"/>
    <w:basedOn w:val="1"/>
    <w:link w:val="33"/>
    <w:qFormat/>
    <w:uiPriority w:val="0"/>
    <w:rPr>
      <w:sz w:val="20"/>
      <w:szCs w:val="20"/>
    </w:rPr>
  </w:style>
  <w:style w:type="paragraph" w:styleId="17">
    <w:name w:val="annotation subject"/>
    <w:basedOn w:val="16"/>
    <w:next w:val="16"/>
    <w:link w:val="34"/>
    <w:qFormat/>
    <w:uiPriority w:val="0"/>
    <w:rPr>
      <w:b/>
      <w:bCs/>
    </w:rPr>
  </w:style>
  <w:style w:type="paragraph" w:styleId="18">
    <w:name w:val="Document Map"/>
    <w:basedOn w:val="1"/>
    <w:semiHidden/>
    <w:qFormat/>
    <w:uiPriority w:val="0"/>
    <w:pPr>
      <w:shd w:val="clear" w:color="auto" w:fill="000080"/>
    </w:pPr>
    <w:rPr>
      <w:rFonts w:ascii="Tahoma" w:hAnsi="Tahoma" w:cs="Tahoma"/>
      <w:sz w:val="20"/>
      <w:szCs w:val="20"/>
    </w:rPr>
  </w:style>
  <w:style w:type="paragraph" w:styleId="19">
    <w:name w:val="footer"/>
    <w:basedOn w:val="1"/>
    <w:link w:val="36"/>
    <w:qFormat/>
    <w:uiPriority w:val="99"/>
    <w:pPr>
      <w:tabs>
        <w:tab w:val="center" w:pos="4153"/>
        <w:tab w:val="right" w:pos="8306"/>
      </w:tabs>
    </w:pPr>
    <w:rPr>
      <w:szCs w:val="20"/>
      <w:lang w:val="en-AU"/>
    </w:rPr>
  </w:style>
  <w:style w:type="paragraph" w:styleId="20">
    <w:name w:val="header"/>
    <w:basedOn w:val="1"/>
    <w:link w:val="31"/>
    <w:qFormat/>
    <w:uiPriority w:val="99"/>
    <w:pPr>
      <w:tabs>
        <w:tab w:val="center" w:pos="4153"/>
        <w:tab w:val="right" w:pos="8306"/>
      </w:tabs>
    </w:pPr>
    <w:rPr>
      <w:szCs w:val="20"/>
      <w:lang w:val="en-AU"/>
    </w:rPr>
  </w:style>
  <w:style w:type="paragraph" w:styleId="21">
    <w:name w:val="Title"/>
    <w:basedOn w:val="1"/>
    <w:link w:val="32"/>
    <w:qFormat/>
    <w:uiPriority w:val="0"/>
    <w:pPr>
      <w:tabs>
        <w:tab w:val="left" w:pos="567"/>
      </w:tabs>
      <w:jc w:val="center"/>
    </w:pPr>
    <w:rPr>
      <w:rFonts w:ascii="Arial" w:hAnsi="Arial" w:cs="Arial"/>
      <w:b/>
      <w:sz w:val="32"/>
    </w:rPr>
  </w:style>
  <w:style w:type="character" w:styleId="23">
    <w:name w:val="annotation reference"/>
    <w:qFormat/>
    <w:uiPriority w:val="0"/>
    <w:rPr>
      <w:sz w:val="16"/>
      <w:szCs w:val="16"/>
    </w:rPr>
  </w:style>
  <w:style w:type="character" w:styleId="24">
    <w:name w:val="FollowedHyperlink"/>
    <w:basedOn w:val="22"/>
    <w:uiPriority w:val="0"/>
    <w:rPr>
      <w:color w:val="954F72" w:themeColor="followedHyperlink"/>
      <w:u w:val="single"/>
      <w14:textFill>
        <w14:solidFill>
          <w14:schemeClr w14:val="folHlink"/>
        </w14:solidFill>
      </w14:textFill>
    </w:rPr>
  </w:style>
  <w:style w:type="character" w:styleId="25">
    <w:name w:val="Hyperlink"/>
    <w:unhideWhenUsed/>
    <w:qFormat/>
    <w:uiPriority w:val="99"/>
    <w:rPr>
      <w:color w:val="0000FF"/>
      <w:u w:val="single"/>
    </w:rPr>
  </w:style>
  <w:style w:type="character" w:styleId="26">
    <w:name w:val="page number"/>
    <w:basedOn w:val="22"/>
    <w:qFormat/>
    <w:uiPriority w:val="0"/>
  </w:style>
  <w:style w:type="character" w:styleId="27">
    <w:name w:val="Strong"/>
    <w:qFormat/>
    <w:uiPriority w:val="22"/>
    <w:rPr>
      <w:b/>
      <w:bCs/>
    </w:rPr>
  </w:style>
  <w:style w:type="table" w:styleId="29">
    <w:name w:val="Table Grid"/>
    <w:basedOn w:val="28"/>
    <w:uiPriority w:val="39"/>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
    <w:name w:val="Heading 1 Char"/>
    <w:link w:val="2"/>
    <w:qFormat/>
    <w:uiPriority w:val="0"/>
    <w:rPr>
      <w:b/>
      <w:sz w:val="24"/>
      <w:lang w:eastAsia="en-US"/>
    </w:rPr>
  </w:style>
  <w:style w:type="character" w:customStyle="1" w:styleId="31">
    <w:name w:val="Header Char"/>
    <w:link w:val="20"/>
    <w:qFormat/>
    <w:uiPriority w:val="99"/>
    <w:rPr>
      <w:sz w:val="24"/>
      <w:lang w:val="en-AU" w:eastAsia="en-US"/>
    </w:rPr>
  </w:style>
  <w:style w:type="character" w:customStyle="1" w:styleId="32">
    <w:name w:val="Title Char"/>
    <w:link w:val="21"/>
    <w:qFormat/>
    <w:uiPriority w:val="0"/>
    <w:rPr>
      <w:rFonts w:ascii="Arial" w:hAnsi="Arial" w:cs="Arial"/>
      <w:b/>
      <w:sz w:val="32"/>
      <w:szCs w:val="24"/>
      <w:lang w:val="en-US" w:eastAsia="en-US"/>
    </w:rPr>
  </w:style>
  <w:style w:type="character" w:customStyle="1" w:styleId="33">
    <w:name w:val="Comment Text Char"/>
    <w:link w:val="16"/>
    <w:qFormat/>
    <w:uiPriority w:val="0"/>
    <w:rPr>
      <w:lang w:val="en-US" w:eastAsia="en-US"/>
    </w:rPr>
  </w:style>
  <w:style w:type="character" w:customStyle="1" w:styleId="34">
    <w:name w:val="Comment Subject Char"/>
    <w:link w:val="17"/>
    <w:qFormat/>
    <w:uiPriority w:val="0"/>
    <w:rPr>
      <w:b/>
      <w:bCs/>
      <w:lang w:val="en-US" w:eastAsia="en-US"/>
    </w:rPr>
  </w:style>
  <w:style w:type="paragraph" w:customStyle="1" w:styleId="35">
    <w:name w:val="Default"/>
    <w:uiPriority w:val="0"/>
    <w:pPr>
      <w:autoSpaceDE w:val="0"/>
      <w:autoSpaceDN w:val="0"/>
      <w:adjustRightInd w:val="0"/>
    </w:pPr>
    <w:rPr>
      <w:rFonts w:ascii="Arial" w:hAnsi="Arial" w:eastAsia="Times New Roman" w:cs="Arial"/>
      <w:color w:val="000000"/>
      <w:sz w:val="24"/>
      <w:szCs w:val="24"/>
      <w:lang w:val="en-GB" w:eastAsia="en-GB" w:bidi="ar-SA"/>
    </w:rPr>
  </w:style>
  <w:style w:type="character" w:customStyle="1" w:styleId="36">
    <w:name w:val="Footer Char"/>
    <w:link w:val="19"/>
    <w:uiPriority w:val="99"/>
    <w:rPr>
      <w:sz w:val="24"/>
      <w:lang w:val="en-AU" w:eastAsia="en-US"/>
    </w:rPr>
  </w:style>
  <w:style w:type="paragraph" w:customStyle="1" w:styleId="37">
    <w:name w:val="Revision"/>
    <w:hidden/>
    <w:semiHidden/>
    <w:uiPriority w:val="99"/>
    <w:rPr>
      <w:rFonts w:ascii="Times New Roman" w:hAnsi="Times New Roman" w:eastAsia="Times New Roman" w:cs="Times New Roman"/>
      <w:sz w:val="24"/>
      <w:szCs w:val="24"/>
      <w:lang w:val="en-US" w:eastAsia="en-US" w:bidi="ar-SA"/>
    </w:rPr>
  </w:style>
  <w:style w:type="paragraph" w:styleId="3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F9A581-E2A3-49EB-AB7E-D85AD1E860F3}">
  <ds:schemaRefs/>
</ds:datastoreItem>
</file>

<file path=docProps/app.xml><?xml version="1.0" encoding="utf-8"?>
<Properties xmlns="http://schemas.openxmlformats.org/officeDocument/2006/extended-properties" xmlns:vt="http://schemas.openxmlformats.org/officeDocument/2006/docPropsVTypes">
  <Template>Normal</Template>
  <Company>Faculty of Medicine</Company>
  <Pages>8</Pages>
  <Words>2211</Words>
  <Characters>13561</Characters>
  <Lines>113</Lines>
  <Paragraphs>31</Paragraphs>
  <TotalTime>39</TotalTime>
  <ScaleCrop>false</ScaleCrop>
  <LinksUpToDate>false</LinksUpToDate>
  <CharactersWithSpaces>15741</CharactersWithSpaces>
  <Application>WPS Office_11.2.0.9684_F1E327BC-269C-435d-A152-05C5408002CA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2020-05-06T07:15:00Z</dcterms:created>
  <dc:creator>User</dc:creator>
  <cp:lastModifiedBy>louisesands</cp:lastModifiedBy>
  <cp:lastPrinted>2019-04-30T11:03:00Z</cp:lastPrinted>
  <dcterms:modified xsi:type="dcterms:W3CDTF">2020-09-28T14:38:13Z</dcterms:modified>
  <dc:title>1</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